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87" w:rsidRPr="004A7B87" w:rsidRDefault="00896D89" w:rsidP="004A7B87">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226060</wp:posOffset>
                </wp:positionV>
                <wp:extent cx="6440170" cy="760095"/>
                <wp:effectExtent l="13970" t="11430" r="1333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760095"/>
                        </a:xfrm>
                        <a:prstGeom prst="rect">
                          <a:avLst/>
                        </a:prstGeom>
                        <a:solidFill>
                          <a:srgbClr val="FFFFFF"/>
                        </a:solidFill>
                        <a:ln w="9525">
                          <a:solidFill>
                            <a:srgbClr val="000000"/>
                          </a:solidFill>
                          <a:miter lim="800000"/>
                          <a:headEnd/>
                          <a:tailEnd/>
                        </a:ln>
                      </wps:spPr>
                      <wps:txbx>
                        <w:txbxContent>
                          <w:p w:rsidR="004A7B87" w:rsidRPr="00BF3F0F" w:rsidRDefault="004A7B87" w:rsidP="00BF3F0F">
                            <w:pPr>
                              <w:shd w:val="clear" w:color="auto" w:fill="FFFFFF" w:themeFill="background1"/>
                              <w:jc w:val="center"/>
                              <w:rPr>
                                <w:rFonts w:ascii="Times New Roman" w:hAnsi="Times New Roman" w:cs="Times New Roman"/>
                                <w:color w:val="000000" w:themeColor="text1"/>
                              </w:rPr>
                            </w:pPr>
                            <w:r w:rsidRPr="00BF3F0F">
                              <w:rPr>
                                <w:rFonts w:ascii="Times New Roman" w:hAnsi="Times New Roman" w:cs="Times New Roman"/>
                                <w:b/>
                                <w:bCs/>
                                <w:color w:val="000000" w:themeColor="text1"/>
                                <w:sz w:val="96"/>
                                <w:szCs w:val="28"/>
                              </w:rPr>
                              <w:t>FCP</w:t>
                            </w:r>
                            <w:r w:rsidR="00CC5568" w:rsidRPr="00BF3F0F">
                              <w:rPr>
                                <w:rFonts w:ascii="Times New Roman" w:hAnsi="Times New Roman" w:cs="Times New Roman"/>
                                <w:b/>
                                <w:bCs/>
                                <w:color w:val="000000" w:themeColor="text1"/>
                                <w:sz w:val="96"/>
                                <w:szCs w:val="28"/>
                              </w:rPr>
                              <w:t xml:space="preserve"> </w:t>
                            </w:r>
                            <w:r w:rsidR="00AE3460" w:rsidRPr="00BF3F0F">
                              <w:rPr>
                                <w:rFonts w:ascii="Times New Roman" w:hAnsi="Times New Roman" w:cs="Times New Roman"/>
                                <w:b/>
                                <w:bCs/>
                                <w:color w:val="000000" w:themeColor="text1"/>
                                <w:sz w:val="96"/>
                                <w:szCs w:val="28"/>
                              </w:rPr>
                              <w:t>TOUNKARANKE</w:t>
                            </w:r>
                          </w:p>
                          <w:p w:rsidR="00BF3F0F" w:rsidRDefault="00BF3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7.8pt;width:507.1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">
                <v:textbox>
                  <w:txbxContent>
                    <w:p w:rsidR="004A7B87" w:rsidRPr="00BF3F0F" w:rsidRDefault="004A7B87" w:rsidP="00BF3F0F">
                      <w:pPr>
                        <w:shd w:val="clear" w:color="auto" w:fill="FFFFFF" w:themeFill="background1"/>
                        <w:jc w:val="center"/>
                        <w:rPr>
                          <w:rFonts w:ascii="Times New Roman" w:hAnsi="Times New Roman" w:cs="Times New Roman"/>
                          <w:color w:val="000000" w:themeColor="text1"/>
                        </w:rPr>
                      </w:pPr>
                      <w:r w:rsidRPr="00BF3F0F">
                        <w:rPr>
                          <w:rFonts w:ascii="Times New Roman" w:hAnsi="Times New Roman" w:cs="Times New Roman"/>
                          <w:b/>
                          <w:bCs/>
                          <w:color w:val="000000" w:themeColor="text1"/>
                          <w:sz w:val="96"/>
                          <w:szCs w:val="28"/>
                        </w:rPr>
                        <w:t>FCP</w:t>
                      </w:r>
                      <w:r w:rsidR="00CC5568" w:rsidRPr="00BF3F0F">
                        <w:rPr>
                          <w:rFonts w:ascii="Times New Roman" w:hAnsi="Times New Roman" w:cs="Times New Roman"/>
                          <w:b/>
                          <w:bCs/>
                          <w:color w:val="000000" w:themeColor="text1"/>
                          <w:sz w:val="96"/>
                          <w:szCs w:val="28"/>
                        </w:rPr>
                        <w:t xml:space="preserve"> </w:t>
                      </w:r>
                      <w:r w:rsidR="00AE3460" w:rsidRPr="00BF3F0F">
                        <w:rPr>
                          <w:rFonts w:ascii="Times New Roman" w:hAnsi="Times New Roman" w:cs="Times New Roman"/>
                          <w:b/>
                          <w:bCs/>
                          <w:color w:val="000000" w:themeColor="text1"/>
                          <w:sz w:val="96"/>
                          <w:szCs w:val="28"/>
                        </w:rPr>
                        <w:t>TOUNKARANKE</w:t>
                      </w:r>
                    </w:p>
                    <w:p w:rsidR="00BF3F0F" w:rsidRDefault="00BF3F0F"/>
                  </w:txbxContent>
                </v:textbox>
              </v:rect>
            </w:pict>
          </mc:Fallback>
        </mc:AlternateContent>
      </w:r>
    </w:p>
    <w:p w:rsidR="004A7B87" w:rsidRPr="004A7B87" w:rsidRDefault="004A7B87" w:rsidP="004A7B87"/>
    <w:p w:rsidR="004A7B87" w:rsidRDefault="004A7B87" w:rsidP="004A7B87"/>
    <w:p w:rsidR="00650D58" w:rsidRDefault="00650D58" w:rsidP="004A7B87"/>
    <w:p w:rsidR="004A7B87" w:rsidRDefault="009858BD" w:rsidP="004A7B87">
      <w:pPr>
        <w:pStyle w:val="Default"/>
        <w:jc w:val="center"/>
        <w:outlineLvl w:val="0"/>
        <w:rPr>
          <w:sz w:val="28"/>
          <w:szCs w:val="28"/>
        </w:rPr>
      </w:pPr>
      <w:r>
        <w:rPr>
          <w:b/>
          <w:bCs/>
          <w:sz w:val="28"/>
          <w:szCs w:val="28"/>
        </w:rPr>
        <w:t>RAPPORT</w:t>
      </w:r>
      <w:r w:rsidR="004A7B87">
        <w:rPr>
          <w:b/>
          <w:bCs/>
          <w:sz w:val="28"/>
          <w:szCs w:val="28"/>
        </w:rPr>
        <w:t xml:space="preserve"> DE GESTION</w:t>
      </w:r>
    </w:p>
    <w:p w:rsidR="00D3692B" w:rsidRDefault="004A7B87" w:rsidP="00650D58">
      <w:pPr>
        <w:pStyle w:val="Default"/>
        <w:jc w:val="center"/>
        <w:outlineLvl w:val="0"/>
        <w:rPr>
          <w:b/>
          <w:bCs/>
          <w:sz w:val="22"/>
          <w:szCs w:val="22"/>
        </w:rPr>
      </w:pPr>
      <w:r>
        <w:rPr>
          <w:b/>
          <w:bCs/>
          <w:sz w:val="22"/>
          <w:szCs w:val="22"/>
        </w:rPr>
        <w:t xml:space="preserve">au </w:t>
      </w:r>
      <w:r w:rsidR="00D11F6A">
        <w:rPr>
          <w:b/>
          <w:bCs/>
          <w:sz w:val="22"/>
          <w:szCs w:val="22"/>
        </w:rPr>
        <w:t>31 Mars</w:t>
      </w:r>
      <w:r w:rsidR="00AE3460">
        <w:rPr>
          <w:b/>
          <w:bCs/>
          <w:sz w:val="22"/>
          <w:szCs w:val="22"/>
        </w:rPr>
        <w:t xml:space="preserve"> </w:t>
      </w:r>
      <w:r w:rsidR="00D11F6A">
        <w:rPr>
          <w:b/>
          <w:bCs/>
          <w:sz w:val="22"/>
          <w:szCs w:val="22"/>
        </w:rPr>
        <w:t>2020</w:t>
      </w:r>
    </w:p>
    <w:p w:rsidR="00650D58" w:rsidRPr="00374D53" w:rsidRDefault="00896D89" w:rsidP="00650D58">
      <w:pPr>
        <w:pStyle w:val="Default"/>
        <w:jc w:val="center"/>
        <w:outlineLvl w:val="0"/>
        <w:rPr>
          <w:b/>
          <w:bCs/>
          <w:sz w:val="22"/>
          <w:szCs w:val="22"/>
        </w:rPr>
      </w:pPr>
      <w:r>
        <w:rPr>
          <w:b/>
          <w:bCs/>
          <w:noProof/>
          <w:sz w:val="22"/>
          <w:szCs w:val="22"/>
          <w:lang w:eastAsia="fr-FR"/>
        </w:rPr>
        <mc:AlternateContent>
          <mc:Choice Requires="wps">
            <w:drawing>
              <wp:anchor distT="0" distB="0" distL="114300" distR="114300" simplePos="0" relativeHeight="251659264" behindDoc="0" locked="0" layoutInCell="1" allowOverlap="1">
                <wp:simplePos x="0" y="0"/>
                <wp:positionH relativeFrom="column">
                  <wp:posOffset>864870</wp:posOffset>
                </wp:positionH>
                <wp:positionV relativeFrom="paragraph">
                  <wp:posOffset>143510</wp:posOffset>
                </wp:positionV>
                <wp:extent cx="3997960" cy="276225"/>
                <wp:effectExtent l="12065" t="5080" r="9525" b="1397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960" cy="276225"/>
                        </a:xfrm>
                        <a:prstGeom prst="rect">
                          <a:avLst/>
                        </a:prstGeom>
                        <a:solidFill>
                          <a:srgbClr val="FFFFFF"/>
                        </a:solidFill>
                        <a:ln w="9525">
                          <a:solidFill>
                            <a:srgbClr val="000000"/>
                          </a:solidFill>
                          <a:miter lim="800000"/>
                          <a:headEnd/>
                          <a:tailEnd/>
                        </a:ln>
                      </wps:spPr>
                      <wps:txbx>
                        <w:txbxContent>
                          <w:p w:rsidR="00650D58" w:rsidRPr="00650D58" w:rsidRDefault="00650D58">
                            <w:pPr>
                              <w:rPr>
                                <w:rFonts w:ascii="Arial" w:hAnsi="Arial" w:cs="Arial"/>
                                <w:b/>
                                <w:sz w:val="24"/>
                              </w:rPr>
                            </w:pPr>
                            <w:r w:rsidRPr="00650D58">
                              <w:rPr>
                                <w:rFonts w:ascii="Arial" w:hAnsi="Arial" w:cs="Arial"/>
                                <w:b/>
                                <w:sz w:val="24"/>
                              </w:rPr>
                              <w:t xml:space="preserve">Valeur Liquidative (VL) : </w:t>
                            </w:r>
                            <w:r w:rsidR="00AB4B8A">
                              <w:rPr>
                                <w:rFonts w:ascii="Arial" w:hAnsi="Arial" w:cs="Arial"/>
                                <w:b/>
                                <w:sz w:val="24"/>
                              </w:rPr>
                              <w:t>100 753,3534</w:t>
                            </w:r>
                            <w:r w:rsidR="009C2CD6">
                              <w:rPr>
                                <w:rFonts w:ascii="Arial" w:hAnsi="Arial" w:cs="Arial"/>
                                <w:b/>
                                <w:sz w:val="24"/>
                              </w:rPr>
                              <w:t> </w:t>
                            </w:r>
                            <w:r w:rsidR="00017F2F">
                              <w:rPr>
                                <w:rFonts w:ascii="Arial" w:hAnsi="Arial" w:cs="Arial"/>
                                <w:b/>
                                <w:sz w:val="24"/>
                              </w:rPr>
                              <w:t xml:space="preserve"> </w:t>
                            </w:r>
                            <w:r w:rsidRPr="00650D58">
                              <w:rPr>
                                <w:rFonts w:ascii="Arial" w:hAnsi="Arial" w:cs="Arial"/>
                                <w:b/>
                                <w:sz w:val="24"/>
                              </w:rPr>
                              <w:t>FCFA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68.1pt;margin-top:11.3pt;width:314.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">
                <v:textbox>
                  <w:txbxContent>
                    <w:p w:rsidR="00650D58" w:rsidRPr="00650D58" w:rsidRDefault="00650D58">
                      <w:pPr>
                        <w:rPr>
                          <w:rFonts w:ascii="Arial" w:hAnsi="Arial" w:cs="Arial"/>
                          <w:b/>
                          <w:sz w:val="24"/>
                        </w:rPr>
                      </w:pPr>
                      <w:r w:rsidRPr="00650D58">
                        <w:rPr>
                          <w:rFonts w:ascii="Arial" w:hAnsi="Arial" w:cs="Arial"/>
                          <w:b/>
                          <w:sz w:val="24"/>
                        </w:rPr>
                        <w:t xml:space="preserve">Valeur Liquidative (VL) : </w:t>
                      </w:r>
                      <w:r w:rsidR="00AB4B8A">
                        <w:rPr>
                          <w:rFonts w:ascii="Arial" w:hAnsi="Arial" w:cs="Arial"/>
                          <w:b/>
                          <w:sz w:val="24"/>
                        </w:rPr>
                        <w:t>100 753,3534</w:t>
                      </w:r>
                      <w:r w:rsidR="009C2CD6">
                        <w:rPr>
                          <w:rFonts w:ascii="Arial" w:hAnsi="Arial" w:cs="Arial"/>
                          <w:b/>
                          <w:sz w:val="24"/>
                        </w:rPr>
                        <w:t> </w:t>
                      </w:r>
                      <w:r w:rsidR="00017F2F">
                        <w:rPr>
                          <w:rFonts w:ascii="Arial" w:hAnsi="Arial" w:cs="Arial"/>
                          <w:b/>
                          <w:sz w:val="24"/>
                        </w:rPr>
                        <w:t xml:space="preserve"> </w:t>
                      </w:r>
                      <w:r w:rsidRPr="00650D58">
                        <w:rPr>
                          <w:rFonts w:ascii="Arial" w:hAnsi="Arial" w:cs="Arial"/>
                          <w:b/>
                          <w:sz w:val="24"/>
                        </w:rPr>
                        <w:t>FCFA</w:t>
                      </w:r>
                    </w:p>
                  </w:txbxContent>
                </v:textbox>
              </v:rect>
            </w:pict>
          </mc:Fallback>
        </mc:AlternateContent>
      </w:r>
    </w:p>
    <w:p w:rsidR="00374D53" w:rsidRDefault="00374D53" w:rsidP="004A7B87">
      <w:pPr>
        <w:pStyle w:val="Default"/>
        <w:spacing w:line="360" w:lineRule="auto"/>
        <w:jc w:val="center"/>
      </w:pPr>
    </w:p>
    <w:p w:rsidR="00650D58" w:rsidRDefault="00650D58" w:rsidP="004A7B87">
      <w:pPr>
        <w:pStyle w:val="Default"/>
        <w:spacing w:line="360" w:lineRule="auto"/>
        <w:jc w:val="center"/>
        <w:rPr>
          <w:sz w:val="22"/>
          <w:szCs w:val="22"/>
        </w:rPr>
      </w:pPr>
    </w:p>
    <w:tbl>
      <w:tblPr>
        <w:tblStyle w:val="Grilledutableau"/>
        <w:tblW w:w="0" w:type="auto"/>
        <w:tblLook w:val="04A0" w:firstRow="1" w:lastRow="0" w:firstColumn="1" w:lastColumn="0" w:noHBand="0" w:noVBand="1"/>
      </w:tblPr>
      <w:tblGrid>
        <w:gridCol w:w="4540"/>
        <w:gridCol w:w="4522"/>
      </w:tblGrid>
      <w:tr w:rsidR="00374D53" w:rsidRPr="0022541E" w:rsidTr="00BF3F0F">
        <w:trPr>
          <w:trHeight w:val="980"/>
        </w:trPr>
        <w:tc>
          <w:tcPr>
            <w:tcW w:w="9212" w:type="dxa"/>
            <w:gridSpan w:val="2"/>
            <w:shd w:val="clear" w:color="auto" w:fill="FFFFFF" w:themeFill="background1"/>
          </w:tcPr>
          <w:p w:rsidR="00374D53" w:rsidRDefault="00374D53" w:rsidP="00DA15CF">
            <w:pPr>
              <w:pStyle w:val="Default"/>
              <w:spacing w:line="360" w:lineRule="auto"/>
              <w:jc w:val="center"/>
              <w:outlineLvl w:val="0"/>
            </w:pPr>
          </w:p>
          <w:p w:rsidR="00374D53" w:rsidRPr="00BF3F0F" w:rsidRDefault="00374D53" w:rsidP="00DA15CF">
            <w:pPr>
              <w:pStyle w:val="Default"/>
              <w:spacing w:line="360" w:lineRule="auto"/>
              <w:jc w:val="center"/>
              <w:outlineLvl w:val="0"/>
              <w:rPr>
                <w:b/>
                <w:color w:val="000000" w:themeColor="text1"/>
              </w:rPr>
            </w:pPr>
            <w:r w:rsidRPr="00BF3F0F">
              <w:rPr>
                <w:b/>
                <w:color w:val="000000" w:themeColor="text1"/>
              </w:rPr>
              <w:t>PRESENTATION DU FONDS</w:t>
            </w:r>
          </w:p>
        </w:tc>
      </w:tr>
      <w:tr w:rsidR="0022541E" w:rsidRPr="0022541E" w:rsidTr="00AE3460">
        <w:tc>
          <w:tcPr>
            <w:tcW w:w="4606" w:type="dxa"/>
            <w:shd w:val="clear" w:color="auto" w:fill="BFBFBF" w:themeFill="background1" w:themeFillShade="BF"/>
          </w:tcPr>
          <w:p w:rsidR="0022541E" w:rsidRDefault="0022541E" w:rsidP="007F4500">
            <w:pPr>
              <w:pStyle w:val="Default"/>
              <w:spacing w:line="360" w:lineRule="auto"/>
              <w:outlineLvl w:val="0"/>
              <w:rPr>
                <w:b/>
                <w:bCs/>
                <w:sz w:val="28"/>
                <w:szCs w:val="28"/>
              </w:rPr>
            </w:pPr>
          </w:p>
          <w:p w:rsidR="0022541E" w:rsidRPr="0022541E" w:rsidRDefault="0022541E" w:rsidP="007F4500">
            <w:pPr>
              <w:pStyle w:val="Default"/>
              <w:spacing w:line="360" w:lineRule="auto"/>
              <w:outlineLvl w:val="0"/>
              <w:rPr>
                <w:b/>
                <w:bCs/>
                <w:sz w:val="28"/>
                <w:szCs w:val="28"/>
              </w:rPr>
            </w:pPr>
            <w:r w:rsidRPr="0022541E">
              <w:rPr>
                <w:b/>
                <w:bCs/>
                <w:sz w:val="28"/>
                <w:szCs w:val="28"/>
              </w:rPr>
              <w:t xml:space="preserve">FCP </w:t>
            </w:r>
            <w:r w:rsidR="00AE3460">
              <w:rPr>
                <w:b/>
                <w:bCs/>
                <w:sz w:val="28"/>
                <w:szCs w:val="28"/>
              </w:rPr>
              <w:t>TOUNKARANKE</w:t>
            </w:r>
          </w:p>
        </w:tc>
        <w:tc>
          <w:tcPr>
            <w:tcW w:w="4606" w:type="dxa"/>
            <w:shd w:val="clear" w:color="auto" w:fill="BFBFBF" w:themeFill="background1" w:themeFillShade="BF"/>
          </w:tcPr>
          <w:p w:rsidR="00CC5568" w:rsidRDefault="00CC5568" w:rsidP="00A27393">
            <w:pPr>
              <w:pStyle w:val="Default"/>
              <w:spacing w:line="360" w:lineRule="auto"/>
              <w:outlineLvl w:val="0"/>
            </w:pPr>
          </w:p>
          <w:p w:rsidR="0022541E" w:rsidRPr="0022541E" w:rsidRDefault="0022541E" w:rsidP="00A27393">
            <w:pPr>
              <w:pStyle w:val="Default"/>
              <w:spacing w:line="360" w:lineRule="auto"/>
              <w:outlineLvl w:val="0"/>
            </w:pPr>
            <w:r w:rsidRPr="0022541E">
              <w:t>Fonds c</w:t>
            </w:r>
            <w:r w:rsidR="00CC5568">
              <w:t>ommun de placement</w:t>
            </w:r>
            <w:r w:rsidRPr="0022541E">
              <w:t xml:space="preserve">. </w:t>
            </w:r>
          </w:p>
        </w:tc>
      </w:tr>
      <w:tr w:rsidR="0022541E" w:rsidRPr="0022541E" w:rsidTr="00CC5568">
        <w:trPr>
          <w:trHeight w:val="1039"/>
        </w:trPr>
        <w:tc>
          <w:tcPr>
            <w:tcW w:w="4606" w:type="dxa"/>
            <w:shd w:val="clear" w:color="auto" w:fill="FFFFFF" w:themeFill="background1"/>
          </w:tcPr>
          <w:p w:rsidR="0022541E" w:rsidRDefault="0022541E" w:rsidP="0022541E">
            <w:pPr>
              <w:pStyle w:val="Default"/>
              <w:spacing w:line="360" w:lineRule="auto"/>
              <w:outlineLvl w:val="0"/>
              <w:rPr>
                <w:b/>
                <w:bCs/>
              </w:rPr>
            </w:pPr>
          </w:p>
          <w:p w:rsidR="0022541E" w:rsidRPr="0022541E" w:rsidRDefault="0022541E" w:rsidP="0022541E">
            <w:pPr>
              <w:pStyle w:val="Default"/>
              <w:spacing w:line="360" w:lineRule="auto"/>
              <w:outlineLvl w:val="0"/>
            </w:pPr>
            <w:r w:rsidRPr="0022541E">
              <w:rPr>
                <w:b/>
                <w:bCs/>
              </w:rPr>
              <w:t xml:space="preserve">Société de gestion </w:t>
            </w:r>
          </w:p>
        </w:tc>
        <w:tc>
          <w:tcPr>
            <w:tcW w:w="4606" w:type="dxa"/>
            <w:shd w:val="clear" w:color="auto" w:fill="FFFFFF" w:themeFill="background1"/>
          </w:tcPr>
          <w:p w:rsidR="0022541E" w:rsidRDefault="0022541E" w:rsidP="007F4500">
            <w:pPr>
              <w:pStyle w:val="Default"/>
              <w:spacing w:line="360" w:lineRule="auto"/>
              <w:rPr>
                <w:b/>
                <w:bCs/>
              </w:rPr>
            </w:pPr>
          </w:p>
          <w:p w:rsidR="0022541E" w:rsidRPr="0022541E" w:rsidRDefault="0022541E" w:rsidP="007F4500">
            <w:pPr>
              <w:pStyle w:val="Default"/>
              <w:spacing w:line="360" w:lineRule="auto"/>
            </w:pPr>
            <w:r w:rsidRPr="0022541E">
              <w:rPr>
                <w:b/>
                <w:bCs/>
              </w:rPr>
              <w:t>SGO MALI FINANCES</w:t>
            </w:r>
          </w:p>
        </w:tc>
      </w:tr>
      <w:tr w:rsidR="0022541E" w:rsidRPr="0022541E" w:rsidTr="00AE3460">
        <w:trPr>
          <w:trHeight w:val="983"/>
        </w:trPr>
        <w:tc>
          <w:tcPr>
            <w:tcW w:w="4606" w:type="dxa"/>
            <w:shd w:val="clear" w:color="auto" w:fill="BFBFBF" w:themeFill="background1" w:themeFillShade="BF"/>
          </w:tcPr>
          <w:p w:rsidR="0022541E" w:rsidRDefault="0022541E" w:rsidP="0022541E">
            <w:pPr>
              <w:pStyle w:val="Default"/>
              <w:spacing w:line="360" w:lineRule="auto"/>
              <w:rPr>
                <w:b/>
                <w:bCs/>
              </w:rPr>
            </w:pPr>
          </w:p>
          <w:p w:rsidR="0022541E" w:rsidRPr="0022541E" w:rsidRDefault="0022541E" w:rsidP="0022541E">
            <w:pPr>
              <w:pStyle w:val="Default"/>
              <w:spacing w:line="360" w:lineRule="auto"/>
            </w:pPr>
            <w:r w:rsidRPr="0022541E">
              <w:rPr>
                <w:b/>
                <w:bCs/>
              </w:rPr>
              <w:t xml:space="preserve">Dépositaire </w:t>
            </w:r>
          </w:p>
        </w:tc>
        <w:tc>
          <w:tcPr>
            <w:tcW w:w="4606" w:type="dxa"/>
            <w:shd w:val="clear" w:color="auto" w:fill="BFBFBF" w:themeFill="background1" w:themeFillShade="BF"/>
          </w:tcPr>
          <w:p w:rsidR="0022541E" w:rsidRDefault="0022541E" w:rsidP="007F4500">
            <w:pPr>
              <w:pStyle w:val="Default"/>
              <w:spacing w:line="360" w:lineRule="auto"/>
              <w:rPr>
                <w:b/>
                <w:bCs/>
              </w:rPr>
            </w:pPr>
          </w:p>
          <w:p w:rsidR="0022541E" w:rsidRPr="0022541E" w:rsidRDefault="0022541E" w:rsidP="007F4500">
            <w:pPr>
              <w:pStyle w:val="Default"/>
              <w:spacing w:line="360" w:lineRule="auto"/>
            </w:pPr>
            <w:r w:rsidRPr="0022541E">
              <w:rPr>
                <w:b/>
                <w:bCs/>
              </w:rPr>
              <w:t>SGI MALI SA</w:t>
            </w:r>
          </w:p>
        </w:tc>
      </w:tr>
      <w:tr w:rsidR="0022541E" w:rsidRPr="0022541E" w:rsidTr="00CC5568">
        <w:tc>
          <w:tcPr>
            <w:tcW w:w="4606" w:type="dxa"/>
            <w:shd w:val="clear" w:color="auto" w:fill="FFFFFF" w:themeFill="background1"/>
          </w:tcPr>
          <w:p w:rsidR="0022541E" w:rsidRDefault="0022541E" w:rsidP="007F4500">
            <w:pPr>
              <w:pStyle w:val="Default"/>
              <w:spacing w:line="360" w:lineRule="auto"/>
              <w:outlineLvl w:val="0"/>
              <w:rPr>
                <w:b/>
                <w:bCs/>
              </w:rPr>
            </w:pPr>
          </w:p>
          <w:p w:rsidR="0022541E" w:rsidRPr="0022541E" w:rsidRDefault="0022541E" w:rsidP="007F4500">
            <w:pPr>
              <w:pStyle w:val="Default"/>
              <w:spacing w:line="360" w:lineRule="auto"/>
              <w:outlineLvl w:val="0"/>
              <w:rPr>
                <w:b/>
                <w:bCs/>
              </w:rPr>
            </w:pPr>
            <w:r w:rsidRPr="0022541E">
              <w:rPr>
                <w:b/>
                <w:bCs/>
              </w:rPr>
              <w:t xml:space="preserve">Commissaire aux comptes : </w:t>
            </w:r>
          </w:p>
        </w:tc>
        <w:tc>
          <w:tcPr>
            <w:tcW w:w="4606" w:type="dxa"/>
            <w:shd w:val="clear" w:color="auto" w:fill="FFFFFF" w:themeFill="background1"/>
          </w:tcPr>
          <w:p w:rsidR="0022541E" w:rsidRPr="0022541E" w:rsidRDefault="0022541E" w:rsidP="007F4500">
            <w:pPr>
              <w:pStyle w:val="Default"/>
              <w:spacing w:line="360" w:lineRule="auto"/>
            </w:pPr>
            <w:r w:rsidRPr="0022541E">
              <w:rPr>
                <w:bCs/>
              </w:rPr>
              <w:t>Cabinet SARECI : Société d’Assistance de Révision d’Expertise Comptable et d’Informatique</w:t>
            </w:r>
            <w:r w:rsidRPr="0022541E">
              <w:rPr>
                <w:b/>
                <w:bCs/>
              </w:rPr>
              <w:t>.</w:t>
            </w:r>
          </w:p>
        </w:tc>
      </w:tr>
      <w:tr w:rsidR="0022541E" w:rsidRPr="0022541E" w:rsidTr="00AE3460">
        <w:trPr>
          <w:trHeight w:val="1000"/>
        </w:trPr>
        <w:tc>
          <w:tcPr>
            <w:tcW w:w="4606" w:type="dxa"/>
            <w:shd w:val="clear" w:color="auto" w:fill="BFBFBF" w:themeFill="background1" w:themeFillShade="BF"/>
          </w:tcPr>
          <w:p w:rsidR="0022541E" w:rsidRDefault="0022541E" w:rsidP="0022541E">
            <w:pPr>
              <w:pStyle w:val="Default"/>
              <w:spacing w:line="360" w:lineRule="auto"/>
              <w:outlineLvl w:val="0"/>
              <w:rPr>
                <w:b/>
                <w:bCs/>
              </w:rPr>
            </w:pPr>
            <w:r w:rsidRPr="0022541E">
              <w:rPr>
                <w:b/>
                <w:bCs/>
              </w:rPr>
              <w:t xml:space="preserve"> </w:t>
            </w:r>
          </w:p>
          <w:p w:rsidR="0022541E" w:rsidRPr="0022541E" w:rsidRDefault="0022541E" w:rsidP="0022541E">
            <w:pPr>
              <w:pStyle w:val="Default"/>
              <w:spacing w:line="360" w:lineRule="auto"/>
              <w:outlineLvl w:val="0"/>
            </w:pPr>
            <w:r w:rsidRPr="0022541E">
              <w:rPr>
                <w:b/>
                <w:bCs/>
              </w:rPr>
              <w:t xml:space="preserve">Classification </w:t>
            </w:r>
          </w:p>
        </w:tc>
        <w:tc>
          <w:tcPr>
            <w:tcW w:w="4606" w:type="dxa"/>
            <w:shd w:val="clear" w:color="auto" w:fill="BFBFBF" w:themeFill="background1" w:themeFillShade="BF"/>
          </w:tcPr>
          <w:p w:rsidR="0022541E" w:rsidRDefault="0022541E" w:rsidP="007F4500">
            <w:pPr>
              <w:pStyle w:val="Default"/>
              <w:spacing w:line="360" w:lineRule="auto"/>
            </w:pPr>
          </w:p>
          <w:p w:rsidR="0022541E" w:rsidRPr="0022541E" w:rsidRDefault="00AE3460" w:rsidP="007F4500">
            <w:pPr>
              <w:pStyle w:val="Default"/>
              <w:spacing w:line="360" w:lineRule="auto"/>
            </w:pPr>
            <w:r>
              <w:t>Obligation moyen et long terme</w:t>
            </w:r>
          </w:p>
        </w:tc>
      </w:tr>
      <w:tr w:rsidR="0022541E" w:rsidRPr="0022541E" w:rsidTr="00CC5568">
        <w:trPr>
          <w:trHeight w:val="987"/>
        </w:trPr>
        <w:tc>
          <w:tcPr>
            <w:tcW w:w="4606" w:type="dxa"/>
            <w:shd w:val="clear" w:color="auto" w:fill="FFFFFF" w:themeFill="background1"/>
          </w:tcPr>
          <w:p w:rsidR="0022541E" w:rsidRDefault="0022541E" w:rsidP="0022541E">
            <w:pPr>
              <w:pStyle w:val="Default"/>
              <w:spacing w:line="360" w:lineRule="auto"/>
              <w:outlineLvl w:val="0"/>
              <w:rPr>
                <w:b/>
                <w:bCs/>
              </w:rPr>
            </w:pPr>
          </w:p>
          <w:p w:rsidR="0022541E" w:rsidRPr="0022541E" w:rsidRDefault="0022541E" w:rsidP="0022541E">
            <w:pPr>
              <w:pStyle w:val="Default"/>
              <w:spacing w:line="360" w:lineRule="auto"/>
              <w:outlineLvl w:val="0"/>
            </w:pPr>
            <w:r w:rsidRPr="0022541E">
              <w:rPr>
                <w:b/>
                <w:bCs/>
              </w:rPr>
              <w:t xml:space="preserve">Affectation des résultats </w:t>
            </w:r>
            <w:r w:rsidRPr="0022541E">
              <w:t xml:space="preserve">: </w:t>
            </w:r>
          </w:p>
        </w:tc>
        <w:tc>
          <w:tcPr>
            <w:tcW w:w="4606" w:type="dxa"/>
            <w:shd w:val="clear" w:color="auto" w:fill="FFFFFF" w:themeFill="background1"/>
          </w:tcPr>
          <w:p w:rsidR="0022541E" w:rsidRPr="0022541E" w:rsidRDefault="0022541E" w:rsidP="007F4500">
            <w:pPr>
              <w:pStyle w:val="Default"/>
              <w:spacing w:line="360" w:lineRule="auto"/>
            </w:pPr>
            <w:r w:rsidRPr="0022541E">
              <w:t>les résultats sont capitalisés annuellement.</w:t>
            </w:r>
          </w:p>
        </w:tc>
      </w:tr>
      <w:tr w:rsidR="0022541E" w:rsidRPr="0022541E" w:rsidTr="00AE3460">
        <w:tc>
          <w:tcPr>
            <w:tcW w:w="4606" w:type="dxa"/>
            <w:shd w:val="clear" w:color="auto" w:fill="BFBFBF" w:themeFill="background1" w:themeFillShade="BF"/>
          </w:tcPr>
          <w:p w:rsidR="0022541E" w:rsidRDefault="0022541E" w:rsidP="007F4500">
            <w:pPr>
              <w:pStyle w:val="Default"/>
              <w:spacing w:line="360" w:lineRule="auto"/>
              <w:outlineLvl w:val="0"/>
              <w:rPr>
                <w:b/>
                <w:bCs/>
              </w:rPr>
            </w:pPr>
          </w:p>
          <w:p w:rsidR="0022541E" w:rsidRDefault="0022541E" w:rsidP="007F4500">
            <w:pPr>
              <w:pStyle w:val="Default"/>
              <w:spacing w:line="360" w:lineRule="auto"/>
              <w:outlineLvl w:val="0"/>
              <w:rPr>
                <w:b/>
                <w:bCs/>
              </w:rPr>
            </w:pPr>
          </w:p>
          <w:p w:rsidR="0022541E" w:rsidRPr="0022541E" w:rsidRDefault="0022541E" w:rsidP="007F4500">
            <w:pPr>
              <w:pStyle w:val="Default"/>
              <w:spacing w:line="360" w:lineRule="auto"/>
              <w:outlineLvl w:val="0"/>
            </w:pPr>
            <w:r w:rsidRPr="0022541E">
              <w:rPr>
                <w:b/>
                <w:bCs/>
              </w:rPr>
              <w:t xml:space="preserve">Objectif de gestion </w:t>
            </w:r>
            <w:r w:rsidRPr="0022541E">
              <w:t xml:space="preserve">: </w:t>
            </w:r>
          </w:p>
        </w:tc>
        <w:tc>
          <w:tcPr>
            <w:tcW w:w="4606" w:type="dxa"/>
            <w:shd w:val="clear" w:color="auto" w:fill="BFBFBF" w:themeFill="background1" w:themeFillShade="BF"/>
          </w:tcPr>
          <w:p w:rsidR="0022541E" w:rsidRPr="00AE3460" w:rsidRDefault="0022541E" w:rsidP="00AE3460">
            <w:pPr>
              <w:spacing w:before="120" w:after="120" w:line="360" w:lineRule="auto"/>
              <w:jc w:val="both"/>
              <w:rPr>
                <w:rFonts w:ascii="Times New Roman" w:eastAsia="Calibri" w:hAnsi="Times New Roman" w:cs="Times New Roman"/>
                <w:sz w:val="18"/>
                <w:szCs w:val="26"/>
              </w:rPr>
            </w:pPr>
            <w:r w:rsidRPr="00AE3460">
              <w:rPr>
                <w:rFonts w:ascii="Times New Roman" w:hAnsi="Times New Roman" w:cs="Times New Roman"/>
                <w:sz w:val="20"/>
              </w:rPr>
              <w:t xml:space="preserve">Le </w:t>
            </w:r>
            <w:r w:rsidR="00AE3460" w:rsidRPr="00AE3460">
              <w:rPr>
                <w:rFonts w:ascii="Times New Roman" w:hAnsi="Times New Roman" w:cs="Times New Roman"/>
                <w:sz w:val="20"/>
              </w:rPr>
              <w:t>FCP</w:t>
            </w:r>
            <w:r w:rsidRPr="00AE3460">
              <w:rPr>
                <w:rFonts w:ascii="Times New Roman" w:hAnsi="Times New Roman" w:cs="Times New Roman"/>
                <w:sz w:val="20"/>
              </w:rPr>
              <w:t xml:space="preserve"> a pour </w:t>
            </w:r>
            <w:r w:rsidR="00CC5568" w:rsidRPr="00AE3460">
              <w:rPr>
                <w:rFonts w:ascii="Times New Roman" w:eastAsia="Calibri" w:hAnsi="Times New Roman" w:cs="Times New Roman"/>
                <w:sz w:val="20"/>
                <w:szCs w:val="26"/>
              </w:rPr>
              <w:t>objectif</w:t>
            </w:r>
            <w:r w:rsidR="00CC5568" w:rsidRPr="00AE3460">
              <w:rPr>
                <w:rFonts w:ascii="Times New Roman" w:eastAsia="Calibri" w:hAnsi="Times New Roman" w:cs="Times New Roman"/>
                <w:sz w:val="24"/>
                <w:szCs w:val="26"/>
              </w:rPr>
              <w:t xml:space="preserve"> </w:t>
            </w:r>
            <w:r w:rsidR="00AE3460" w:rsidRPr="00AE3460">
              <w:rPr>
                <w:rFonts w:ascii="Times New Roman" w:hAnsi="Times New Roman" w:cs="Times New Roman"/>
                <w:sz w:val="20"/>
                <w:szCs w:val="26"/>
              </w:rPr>
              <w:t xml:space="preserve">d'élargir la gamme de produits d'investissement offerts au grand public et principalement aux maliens vivants à l’étranger afin de leur permettre de profiter des opportunités présentées par la Bourse Régionale des Valeurs Mobilières (BRVM)  tout en </w:t>
            </w:r>
            <w:r w:rsidR="00AB4B8A">
              <w:rPr>
                <w:rFonts w:ascii="Times New Roman" w:hAnsi="Times New Roman" w:cs="Times New Roman"/>
                <w:sz w:val="20"/>
                <w:szCs w:val="26"/>
              </w:rPr>
              <w:t>offrant une meilleure liquidité.</w:t>
            </w:r>
          </w:p>
        </w:tc>
      </w:tr>
    </w:tbl>
    <w:p w:rsidR="00ED797C" w:rsidRDefault="004A7B87" w:rsidP="004A7B87">
      <w:pPr>
        <w:pStyle w:val="Default"/>
        <w:spacing w:line="360" w:lineRule="auto"/>
        <w:rPr>
          <w:rFonts w:ascii="Times New Roman" w:hAnsi="Times New Roman" w:cs="Times New Roman"/>
          <w:szCs w:val="22"/>
        </w:rPr>
      </w:pPr>
      <w:r w:rsidRPr="00024AA5">
        <w:rPr>
          <w:rFonts w:ascii="Times New Roman" w:hAnsi="Times New Roman" w:cs="Times New Roman"/>
          <w:szCs w:val="22"/>
        </w:rPr>
        <w:t xml:space="preserve"> </w:t>
      </w:r>
    </w:p>
    <w:p w:rsidR="00C42E34" w:rsidRDefault="00C42E34" w:rsidP="004A7B87">
      <w:pPr>
        <w:pStyle w:val="Default"/>
        <w:spacing w:line="360" w:lineRule="auto"/>
        <w:rPr>
          <w:b/>
          <w:szCs w:val="22"/>
        </w:rPr>
        <w:sectPr w:rsidR="00C42E34" w:rsidSect="00473850">
          <w:pgSz w:w="11906" w:h="16838" w:code="9"/>
          <w:pgMar w:top="1417" w:right="1417" w:bottom="1417" w:left="1417" w:header="708" w:footer="708"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space="708"/>
          <w:docGrid w:linePitch="360"/>
        </w:sectPr>
      </w:pPr>
    </w:p>
    <w:p w:rsidR="004A7B87" w:rsidRDefault="004A7B87" w:rsidP="00C42E34">
      <w:pPr>
        <w:pStyle w:val="Default"/>
        <w:spacing w:line="360" w:lineRule="auto"/>
        <w:rPr>
          <w:b/>
          <w:sz w:val="22"/>
          <w:szCs w:val="22"/>
        </w:rPr>
      </w:pPr>
      <w:r w:rsidRPr="00C42E34">
        <w:rPr>
          <w:b/>
          <w:sz w:val="22"/>
          <w:szCs w:val="22"/>
        </w:rPr>
        <w:lastRenderedPageBreak/>
        <w:t>Stratégie d’investissement</w:t>
      </w:r>
    </w:p>
    <w:p w:rsidR="00CC5568" w:rsidRDefault="00CC5568" w:rsidP="00C42E34">
      <w:pPr>
        <w:pStyle w:val="Default"/>
        <w:spacing w:line="360" w:lineRule="auto"/>
        <w:rPr>
          <w:b/>
          <w:sz w:val="22"/>
          <w:szCs w:val="22"/>
        </w:rPr>
      </w:pPr>
    </w:p>
    <w:p w:rsidR="00AE3460" w:rsidRPr="00AE3460" w:rsidRDefault="00AE3460" w:rsidP="00AE3460">
      <w:pPr>
        <w:spacing w:before="120" w:after="120" w:line="360" w:lineRule="auto"/>
        <w:jc w:val="both"/>
        <w:rPr>
          <w:rFonts w:ascii="Times New Roman" w:hAnsi="Times New Roman" w:cs="Times New Roman"/>
          <w:sz w:val="20"/>
          <w:szCs w:val="26"/>
        </w:rPr>
      </w:pPr>
      <w:r w:rsidRPr="00AE3460">
        <w:rPr>
          <w:rFonts w:ascii="Times New Roman" w:hAnsi="Times New Roman" w:cs="Times New Roman"/>
          <w:sz w:val="20"/>
          <w:szCs w:val="26"/>
        </w:rPr>
        <w:t>Le FCP TOUNKARANKE est un fonds commun de placement « Obligataire à moyen et long terme » qui investit dans les titres émis sur le marché financier régional de l’UMOA, conformément aux dispositions du Conseil Régional régissant cette catégorie d’OPCVM et dans les limites fixées par la réglementation. Ainsi, au moins 90% de l’actif du fonds sera investi en obligations à moyen et long terme et titres assimilés. Le reste sera composé d’actions et de liquidité</w:t>
      </w:r>
      <w:r>
        <w:rPr>
          <w:rFonts w:ascii="Times New Roman" w:hAnsi="Times New Roman" w:cs="Times New Roman"/>
          <w:sz w:val="20"/>
          <w:szCs w:val="26"/>
        </w:rPr>
        <w:t>.</w:t>
      </w:r>
    </w:p>
    <w:p w:rsidR="00CC5568" w:rsidRPr="00AE3460" w:rsidRDefault="00CC5568" w:rsidP="00AE3460">
      <w:pPr>
        <w:spacing w:before="120" w:after="120" w:line="360" w:lineRule="auto"/>
        <w:jc w:val="both"/>
        <w:rPr>
          <w:rFonts w:ascii="Times New Roman" w:eastAsia="Calibri" w:hAnsi="Times New Roman" w:cs="Times New Roman"/>
          <w:sz w:val="16"/>
          <w:szCs w:val="26"/>
        </w:rPr>
      </w:pPr>
    </w:p>
    <w:p w:rsidR="00C42E34" w:rsidRDefault="00C42E34"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CC5568" w:rsidRDefault="00CC5568" w:rsidP="004A7B87">
      <w:pPr>
        <w:spacing w:line="360" w:lineRule="auto"/>
        <w:rPr>
          <w:rFonts w:ascii="Arial" w:hAnsi="Arial" w:cs="Arial"/>
        </w:rPr>
      </w:pPr>
    </w:p>
    <w:p w:rsidR="00AE3460" w:rsidRDefault="00AE3460" w:rsidP="004A7B87">
      <w:pPr>
        <w:spacing w:line="360" w:lineRule="auto"/>
        <w:rPr>
          <w:rFonts w:ascii="Arial" w:hAnsi="Arial" w:cs="Arial"/>
        </w:rPr>
      </w:pPr>
    </w:p>
    <w:p w:rsidR="00AE3460" w:rsidRDefault="00AE3460" w:rsidP="004A7B87">
      <w:pPr>
        <w:spacing w:line="360" w:lineRule="auto"/>
        <w:rPr>
          <w:rFonts w:ascii="Arial" w:hAnsi="Arial" w:cs="Arial"/>
        </w:rPr>
      </w:pPr>
    </w:p>
    <w:p w:rsidR="00AE3460" w:rsidRDefault="00AE3460" w:rsidP="004A7B87">
      <w:pPr>
        <w:spacing w:line="360" w:lineRule="auto"/>
        <w:rPr>
          <w:rFonts w:ascii="Arial" w:hAnsi="Arial" w:cs="Arial"/>
        </w:rPr>
      </w:pPr>
    </w:p>
    <w:p w:rsidR="00AE3460" w:rsidRDefault="00AE3460" w:rsidP="004A7B87">
      <w:pPr>
        <w:spacing w:line="360" w:lineRule="auto"/>
        <w:rPr>
          <w:rFonts w:ascii="Arial" w:hAnsi="Arial" w:cs="Arial"/>
        </w:rPr>
      </w:pPr>
    </w:p>
    <w:p w:rsidR="00AE3460" w:rsidRDefault="00AE3460" w:rsidP="004A7B87">
      <w:pPr>
        <w:spacing w:line="360" w:lineRule="auto"/>
        <w:rPr>
          <w:rFonts w:ascii="Arial" w:hAnsi="Arial" w:cs="Arial"/>
        </w:rPr>
      </w:pPr>
    </w:p>
    <w:p w:rsidR="00AE3460" w:rsidRDefault="00AE3460" w:rsidP="004A7B87">
      <w:pPr>
        <w:spacing w:line="360" w:lineRule="auto"/>
        <w:rPr>
          <w:rFonts w:ascii="Arial" w:hAnsi="Arial" w:cs="Arial"/>
        </w:rPr>
      </w:pPr>
    </w:p>
    <w:p w:rsidR="00AE3460" w:rsidRDefault="00AE3460" w:rsidP="004A7B87">
      <w:pPr>
        <w:spacing w:line="360" w:lineRule="auto"/>
        <w:rPr>
          <w:rFonts w:ascii="Arial" w:hAnsi="Arial" w:cs="Arial"/>
        </w:rPr>
      </w:pPr>
    </w:p>
    <w:p w:rsidR="00AE3460" w:rsidRDefault="00AE3460" w:rsidP="004A7B87">
      <w:pPr>
        <w:spacing w:line="360" w:lineRule="auto"/>
        <w:rPr>
          <w:rFonts w:ascii="Arial" w:hAnsi="Arial" w:cs="Arial"/>
        </w:rPr>
      </w:pPr>
    </w:p>
    <w:p w:rsidR="00CC5568" w:rsidRDefault="00CC5568" w:rsidP="004A7B87">
      <w:pPr>
        <w:spacing w:line="360" w:lineRule="auto"/>
        <w:rPr>
          <w:rFonts w:ascii="Arial" w:hAnsi="Arial" w:cs="Arial"/>
        </w:rPr>
      </w:pPr>
    </w:p>
    <w:p w:rsidR="00C42E34" w:rsidRPr="00C42E34" w:rsidRDefault="00C42E34" w:rsidP="004A7B87">
      <w:pPr>
        <w:spacing w:line="360" w:lineRule="auto"/>
        <w:rPr>
          <w:sz w:val="20"/>
        </w:rPr>
      </w:pPr>
    </w:p>
    <w:p w:rsidR="004A7B87" w:rsidRDefault="004A7B87" w:rsidP="004A7B87">
      <w:pPr>
        <w:spacing w:line="360" w:lineRule="auto"/>
        <w:outlineLvl w:val="0"/>
        <w:rPr>
          <w:rFonts w:ascii="Arial" w:hAnsi="Arial" w:cs="Arial"/>
          <w:b/>
          <w:szCs w:val="28"/>
        </w:rPr>
      </w:pPr>
      <w:r w:rsidRPr="00C42E34">
        <w:rPr>
          <w:rFonts w:ascii="Arial" w:hAnsi="Arial" w:cs="Arial"/>
          <w:b/>
          <w:szCs w:val="28"/>
        </w:rPr>
        <w:lastRenderedPageBreak/>
        <w:t>Profil de risque</w:t>
      </w:r>
    </w:p>
    <w:p w:rsidR="00AE3460" w:rsidRPr="00AE3460" w:rsidRDefault="00AE3460" w:rsidP="00AE3460">
      <w:pPr>
        <w:spacing w:before="120" w:after="120" w:line="264" w:lineRule="auto"/>
        <w:jc w:val="both"/>
        <w:rPr>
          <w:rFonts w:ascii="Times New Roman" w:hAnsi="Times New Roman" w:cs="Times New Roman"/>
          <w:sz w:val="20"/>
          <w:szCs w:val="26"/>
        </w:rPr>
      </w:pPr>
      <w:r w:rsidRPr="00AE3460">
        <w:rPr>
          <w:rFonts w:ascii="Times New Roman" w:hAnsi="Times New Roman" w:cs="Times New Roman"/>
          <w:sz w:val="20"/>
          <w:szCs w:val="26"/>
        </w:rPr>
        <w:t>Le FCP TOUNKARANKE sera investi majoritairement dans des produits de taux émis sur le marché financier de l’UMOA et cotés ou non sur la BRVM, et donc exposé aux évolutions et aléas du marché. Cependant, ce risque est relativement faible.</w:t>
      </w:r>
    </w:p>
    <w:p w:rsidR="00AE3460" w:rsidRPr="00AE3460" w:rsidRDefault="00AE3460" w:rsidP="00AE3460">
      <w:pPr>
        <w:spacing w:before="120" w:after="120" w:line="264" w:lineRule="auto"/>
        <w:jc w:val="both"/>
        <w:rPr>
          <w:rFonts w:ascii="Times New Roman" w:hAnsi="Times New Roman" w:cs="Times New Roman"/>
          <w:sz w:val="20"/>
          <w:szCs w:val="26"/>
          <w:lang w:val="fr-CH"/>
        </w:rPr>
      </w:pPr>
      <w:r w:rsidRPr="00AE3460">
        <w:rPr>
          <w:rFonts w:ascii="Times New Roman" w:hAnsi="Times New Roman" w:cs="Times New Roman"/>
          <w:sz w:val="20"/>
          <w:szCs w:val="26"/>
        </w:rPr>
        <w:t>Par ailleurs,</w:t>
      </w:r>
      <w:r w:rsidRPr="00AE3460">
        <w:rPr>
          <w:rFonts w:ascii="Times New Roman" w:hAnsi="Times New Roman" w:cs="Times New Roman"/>
          <w:sz w:val="20"/>
          <w:szCs w:val="26"/>
          <w:lang w:val="fr-CH"/>
        </w:rPr>
        <w:t xml:space="preserve"> la publication régulière auprès de la Bourse Régionale des Valeurs Mobilières de la valeur liquidative de la part, ajouté aux contrôles exercés par le Dépositaire (Conservateur des fonds et des valeurs) et l’Autorité de régulation sur les activités du gestionnaire, concourent à limiter les facteurs de risque pour les investisseurs. </w:t>
      </w:r>
    </w:p>
    <w:p w:rsidR="00AE3460" w:rsidRPr="00AE3460" w:rsidRDefault="00AE3460" w:rsidP="00AE3460">
      <w:pPr>
        <w:autoSpaceDE w:val="0"/>
        <w:autoSpaceDN w:val="0"/>
        <w:adjustRightInd w:val="0"/>
        <w:spacing w:before="120" w:after="120"/>
        <w:rPr>
          <w:rFonts w:ascii="Times New Roman" w:hAnsi="Times New Roman" w:cs="Times New Roman"/>
          <w:sz w:val="20"/>
          <w:szCs w:val="26"/>
          <w:lang w:val="fr-CH"/>
        </w:rPr>
      </w:pPr>
      <w:r w:rsidRPr="00AE3460">
        <w:rPr>
          <w:rFonts w:ascii="Times New Roman" w:hAnsi="Times New Roman" w:cs="Times New Roman"/>
          <w:sz w:val="20"/>
          <w:szCs w:val="26"/>
          <w:lang w:val="fr-CH"/>
        </w:rPr>
        <w:t>Les principaux risques auxquels s'expose le porteur de parts pourraient être les</w:t>
      </w:r>
      <w:r w:rsidRPr="00AE3460">
        <w:rPr>
          <w:rFonts w:ascii="Times New Roman" w:hAnsi="Times New Roman" w:cs="Times New Roman"/>
          <w:sz w:val="16"/>
        </w:rPr>
        <w:t xml:space="preserve"> </w:t>
      </w:r>
      <w:r w:rsidRPr="00AE3460">
        <w:rPr>
          <w:rFonts w:ascii="Times New Roman" w:hAnsi="Times New Roman" w:cs="Times New Roman"/>
          <w:sz w:val="20"/>
          <w:szCs w:val="26"/>
          <w:lang w:val="fr-CH"/>
        </w:rPr>
        <w:t>suivants :</w:t>
      </w:r>
    </w:p>
    <w:p w:rsidR="00AE3460" w:rsidRPr="00AE3460" w:rsidRDefault="00AE3460" w:rsidP="00AE3460">
      <w:pPr>
        <w:pStyle w:val="Paragraphedeliste"/>
        <w:numPr>
          <w:ilvl w:val="0"/>
          <w:numId w:val="1"/>
        </w:numPr>
        <w:autoSpaceDE w:val="0"/>
        <w:autoSpaceDN w:val="0"/>
        <w:adjustRightInd w:val="0"/>
        <w:spacing w:before="120" w:after="120"/>
        <w:rPr>
          <w:sz w:val="20"/>
          <w:szCs w:val="26"/>
          <w:lang w:val="fr-CH"/>
        </w:rPr>
      </w:pPr>
      <w:r w:rsidRPr="00AE3460">
        <w:rPr>
          <w:sz w:val="20"/>
          <w:szCs w:val="26"/>
          <w:lang w:val="fr-CH"/>
        </w:rPr>
        <w:t>Risques actions :</w:t>
      </w:r>
    </w:p>
    <w:p w:rsidR="00AE3460" w:rsidRPr="00AE3460" w:rsidRDefault="00AE3460" w:rsidP="00AE3460">
      <w:pPr>
        <w:autoSpaceDE w:val="0"/>
        <w:autoSpaceDN w:val="0"/>
        <w:adjustRightInd w:val="0"/>
        <w:spacing w:before="120" w:after="120"/>
        <w:jc w:val="both"/>
        <w:rPr>
          <w:rFonts w:ascii="Times New Roman" w:hAnsi="Times New Roman" w:cs="Times New Roman"/>
          <w:sz w:val="20"/>
          <w:szCs w:val="26"/>
          <w:lang w:val="fr-CH"/>
        </w:rPr>
      </w:pPr>
      <w:r w:rsidRPr="00AE3460">
        <w:rPr>
          <w:rFonts w:ascii="Times New Roman" w:hAnsi="Times New Roman" w:cs="Times New Roman"/>
          <w:sz w:val="20"/>
          <w:szCs w:val="26"/>
          <w:lang w:val="fr-CH"/>
        </w:rPr>
        <w:t>Les variations du marché des actions peuvent entraîner des fluctuations de l'actif net sous gestion. En période de baisse du marché des actions, la valeur liquidative pourra être amenée à baisser. Toutefois ce risque est relativement faible car 10% au plus des actifs pourraient être investi en actions.</w:t>
      </w:r>
    </w:p>
    <w:p w:rsidR="00AE3460" w:rsidRPr="00AE3460" w:rsidRDefault="00AE3460" w:rsidP="00AE3460">
      <w:pPr>
        <w:pStyle w:val="Paragraphedeliste"/>
        <w:numPr>
          <w:ilvl w:val="0"/>
          <w:numId w:val="1"/>
        </w:numPr>
        <w:autoSpaceDE w:val="0"/>
        <w:autoSpaceDN w:val="0"/>
        <w:adjustRightInd w:val="0"/>
        <w:spacing w:before="120" w:after="120"/>
        <w:rPr>
          <w:sz w:val="20"/>
          <w:szCs w:val="26"/>
          <w:lang w:val="fr-CH"/>
        </w:rPr>
      </w:pPr>
      <w:r w:rsidRPr="00AE3460">
        <w:rPr>
          <w:sz w:val="20"/>
          <w:szCs w:val="26"/>
          <w:lang w:val="fr-CH"/>
        </w:rPr>
        <w:t>Risque de crédit :</w:t>
      </w:r>
    </w:p>
    <w:p w:rsidR="00AE3460" w:rsidRPr="00AE3460" w:rsidRDefault="00AE3460" w:rsidP="00AE3460">
      <w:pPr>
        <w:spacing w:line="360" w:lineRule="auto"/>
        <w:outlineLvl w:val="0"/>
        <w:rPr>
          <w:rFonts w:ascii="Times New Roman" w:hAnsi="Times New Roman" w:cs="Times New Roman"/>
          <w:sz w:val="20"/>
          <w:szCs w:val="20"/>
          <w:lang w:val="fr-CH"/>
        </w:rPr>
      </w:pPr>
      <w:r w:rsidRPr="00AE3460">
        <w:rPr>
          <w:rFonts w:ascii="Times New Roman" w:hAnsi="Times New Roman" w:cs="Times New Roman"/>
          <w:sz w:val="20"/>
          <w:szCs w:val="26"/>
          <w:lang w:val="fr-CH"/>
        </w:rPr>
        <w:t xml:space="preserve">Le risque de crédit correspond au risque qu'un émetteur d'obligations ou d'autres titres à revenu fixe ne puisse pas faire face à ses engagements. L'exposition à ce risque est faible car les titres à revenus fixes disponibles sont autorisés par le CREPMF ou la BCEAO et sont adossés en général </w:t>
      </w:r>
      <w:r w:rsidRPr="00AE3460">
        <w:rPr>
          <w:rFonts w:ascii="Times New Roman" w:hAnsi="Times New Roman" w:cs="Times New Roman"/>
          <w:sz w:val="20"/>
          <w:szCs w:val="20"/>
          <w:lang w:val="fr-CH"/>
        </w:rPr>
        <w:t>à des garanties.</w:t>
      </w:r>
    </w:p>
    <w:p w:rsidR="004A7B87" w:rsidRPr="00C42E34" w:rsidRDefault="004A7B87" w:rsidP="00AE3460">
      <w:pPr>
        <w:spacing w:line="360" w:lineRule="auto"/>
        <w:outlineLvl w:val="0"/>
        <w:rPr>
          <w:rFonts w:ascii="Arial" w:hAnsi="Arial" w:cs="Arial"/>
          <w:b/>
          <w:szCs w:val="24"/>
        </w:rPr>
      </w:pPr>
      <w:r w:rsidRPr="00C42E34">
        <w:rPr>
          <w:rFonts w:ascii="Arial" w:hAnsi="Arial" w:cs="Arial"/>
          <w:b/>
          <w:szCs w:val="24"/>
        </w:rPr>
        <w:t>CHANGEMENTS INTERESSANT LE FCPE INTERVENUS AU COURS DE L’EXERCICE</w:t>
      </w:r>
    </w:p>
    <w:p w:rsidR="004A7B87" w:rsidRPr="00C42E34" w:rsidRDefault="004A7B87" w:rsidP="004A7B87">
      <w:pPr>
        <w:spacing w:line="360" w:lineRule="auto"/>
        <w:outlineLvl w:val="0"/>
        <w:rPr>
          <w:rFonts w:ascii="Arial" w:hAnsi="Arial" w:cs="Arial"/>
          <w:szCs w:val="24"/>
        </w:rPr>
      </w:pPr>
      <w:r w:rsidRPr="00C42E34">
        <w:rPr>
          <w:rFonts w:ascii="Arial" w:hAnsi="Arial" w:cs="Arial"/>
          <w:szCs w:val="24"/>
        </w:rPr>
        <w:t>Néant</w:t>
      </w:r>
    </w:p>
    <w:p w:rsidR="004A7B87" w:rsidRPr="00C42E34" w:rsidRDefault="00D3692B" w:rsidP="004A7B87">
      <w:pPr>
        <w:spacing w:line="360" w:lineRule="auto"/>
        <w:outlineLvl w:val="0"/>
        <w:rPr>
          <w:rFonts w:ascii="Arial" w:hAnsi="Arial" w:cs="Arial"/>
          <w:b/>
          <w:szCs w:val="24"/>
        </w:rPr>
      </w:pPr>
      <w:r w:rsidRPr="00C42E34">
        <w:rPr>
          <w:rFonts w:ascii="Arial" w:hAnsi="Arial" w:cs="Arial"/>
          <w:b/>
          <w:szCs w:val="24"/>
        </w:rPr>
        <w:t>CHANGEMENT A VENIR I</w:t>
      </w:r>
      <w:r w:rsidR="004A7B87" w:rsidRPr="00C42E34">
        <w:rPr>
          <w:rFonts w:ascii="Arial" w:hAnsi="Arial" w:cs="Arial"/>
          <w:b/>
          <w:szCs w:val="24"/>
        </w:rPr>
        <w:t>NTERSSANT LE FCPE</w:t>
      </w:r>
    </w:p>
    <w:p w:rsidR="004A7B87" w:rsidRDefault="004A7B87" w:rsidP="004A7B87">
      <w:pPr>
        <w:spacing w:line="360" w:lineRule="auto"/>
        <w:outlineLvl w:val="0"/>
        <w:rPr>
          <w:rFonts w:ascii="Arial" w:hAnsi="Arial" w:cs="Arial"/>
          <w:szCs w:val="24"/>
        </w:rPr>
      </w:pPr>
      <w:r w:rsidRPr="00C42E34">
        <w:rPr>
          <w:rFonts w:ascii="Arial" w:hAnsi="Arial" w:cs="Arial"/>
          <w:szCs w:val="24"/>
        </w:rPr>
        <w:t xml:space="preserve">Néant </w:t>
      </w:r>
    </w:p>
    <w:p w:rsidR="00CC5568" w:rsidRPr="00C42E34" w:rsidRDefault="00CC5568" w:rsidP="004A7B87">
      <w:pPr>
        <w:spacing w:line="360" w:lineRule="auto"/>
        <w:outlineLvl w:val="0"/>
        <w:rPr>
          <w:rFonts w:ascii="Arial" w:hAnsi="Arial" w:cs="Arial"/>
          <w:szCs w:val="24"/>
        </w:rPr>
      </w:pPr>
    </w:p>
    <w:p w:rsidR="004A7B87" w:rsidRPr="00BF3F0F" w:rsidRDefault="004A7B87" w:rsidP="00BF3F0F">
      <w:pPr>
        <w:shd w:val="clear" w:color="auto" w:fill="FFFFFF" w:themeFill="background1"/>
        <w:spacing w:line="360" w:lineRule="auto"/>
        <w:jc w:val="center"/>
        <w:outlineLvl w:val="0"/>
        <w:rPr>
          <w:rFonts w:ascii="Arial" w:hAnsi="Arial" w:cs="Arial"/>
          <w:b/>
          <w:color w:val="000000" w:themeColor="text1"/>
          <w:sz w:val="24"/>
          <w:szCs w:val="24"/>
        </w:rPr>
      </w:pPr>
      <w:r w:rsidRPr="00BF3F0F">
        <w:rPr>
          <w:rFonts w:ascii="Arial" w:hAnsi="Arial" w:cs="Arial"/>
          <w:b/>
          <w:color w:val="000000" w:themeColor="text1"/>
          <w:sz w:val="24"/>
          <w:szCs w:val="24"/>
        </w:rPr>
        <w:lastRenderedPageBreak/>
        <w:t>EVOLUTION DE LA VALEUR LIQUIDATIVE</w:t>
      </w:r>
    </w:p>
    <w:p w:rsidR="008557F0" w:rsidRDefault="008557F0" w:rsidP="004A7B87">
      <w:pPr>
        <w:spacing w:line="360" w:lineRule="auto"/>
        <w:outlineLvl w:val="0"/>
        <w:rPr>
          <w:rFonts w:ascii="Arial" w:hAnsi="Arial" w:cs="Arial"/>
          <w:b/>
          <w:sz w:val="24"/>
          <w:szCs w:val="24"/>
        </w:rPr>
      </w:pPr>
    </w:p>
    <w:p w:rsidR="00C42E34" w:rsidRDefault="00603B51" w:rsidP="004A7B87">
      <w:pPr>
        <w:spacing w:line="360" w:lineRule="auto"/>
        <w:outlineLvl w:val="0"/>
        <w:rPr>
          <w:rFonts w:ascii="Arial" w:hAnsi="Arial" w:cs="Arial"/>
          <w:b/>
          <w:sz w:val="24"/>
          <w:szCs w:val="24"/>
        </w:rPr>
      </w:pPr>
      <w:r>
        <w:rPr>
          <w:noProof/>
          <w:lang w:eastAsia="fr-FR"/>
        </w:rPr>
        <w:drawing>
          <wp:inline distT="0" distB="0" distL="0" distR="0" wp14:anchorId="64559536" wp14:editId="3FF50747">
            <wp:extent cx="2962275" cy="2857500"/>
            <wp:effectExtent l="0" t="0" r="9525"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3B00" w:rsidRPr="00B46597" w:rsidRDefault="00AC3B00" w:rsidP="00B46597">
      <w:pPr>
        <w:spacing w:line="360" w:lineRule="auto"/>
        <w:outlineLvl w:val="0"/>
        <w:rPr>
          <w:rFonts w:ascii="Arial" w:hAnsi="Arial" w:cs="Arial"/>
          <w:b/>
          <w:sz w:val="24"/>
          <w:szCs w:val="24"/>
        </w:rPr>
      </w:pPr>
    </w:p>
    <w:p w:rsidR="008557F0" w:rsidRPr="00BF3F0F" w:rsidRDefault="004A7B87" w:rsidP="00BF3F0F">
      <w:pPr>
        <w:shd w:val="clear" w:color="auto" w:fill="FFFFFF" w:themeFill="background1"/>
        <w:spacing w:line="360" w:lineRule="auto"/>
        <w:jc w:val="center"/>
        <w:outlineLvl w:val="0"/>
        <w:rPr>
          <w:rFonts w:ascii="Arial" w:hAnsi="Arial" w:cs="Arial"/>
          <w:b/>
          <w:color w:val="000000" w:themeColor="text1"/>
          <w:sz w:val="24"/>
          <w:szCs w:val="28"/>
        </w:rPr>
      </w:pPr>
      <w:r w:rsidRPr="00BF3F0F">
        <w:rPr>
          <w:rFonts w:ascii="Arial" w:hAnsi="Arial" w:cs="Arial"/>
          <w:b/>
          <w:color w:val="000000" w:themeColor="text1"/>
          <w:sz w:val="24"/>
          <w:szCs w:val="28"/>
        </w:rPr>
        <w:t>EVOLUTION DU PORTEFEUILLE</w:t>
      </w:r>
    </w:p>
    <w:p w:rsidR="00C42E34" w:rsidRDefault="00C42E34" w:rsidP="00B46597">
      <w:pPr>
        <w:spacing w:line="360" w:lineRule="auto"/>
        <w:rPr>
          <w:sz w:val="28"/>
          <w:szCs w:val="28"/>
        </w:rPr>
      </w:pPr>
    </w:p>
    <w:p w:rsidR="007737BC" w:rsidRDefault="001F2AD9" w:rsidP="00B46597">
      <w:pPr>
        <w:spacing w:line="360" w:lineRule="auto"/>
        <w:rPr>
          <w:sz w:val="28"/>
          <w:szCs w:val="28"/>
        </w:rPr>
      </w:pPr>
      <w:r>
        <w:rPr>
          <w:noProof/>
          <w:lang w:eastAsia="fr-FR"/>
        </w:rPr>
        <w:drawing>
          <wp:inline distT="0" distB="0" distL="0" distR="0" wp14:anchorId="29BB7C44" wp14:editId="2897CE03">
            <wp:extent cx="2905125" cy="2419350"/>
            <wp:effectExtent l="0" t="0" r="9525"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7737BC" w:rsidRDefault="007737BC" w:rsidP="00B46597">
      <w:pPr>
        <w:spacing w:line="360" w:lineRule="auto"/>
        <w:rPr>
          <w:sz w:val="28"/>
          <w:szCs w:val="28"/>
        </w:rPr>
      </w:pPr>
    </w:p>
    <w:p w:rsidR="007737BC" w:rsidRDefault="007737BC" w:rsidP="00B46597">
      <w:pPr>
        <w:spacing w:line="360" w:lineRule="auto"/>
        <w:rPr>
          <w:sz w:val="28"/>
          <w:szCs w:val="28"/>
        </w:rPr>
      </w:pPr>
    </w:p>
    <w:p w:rsidR="00AC3B00" w:rsidRDefault="00AC3B00" w:rsidP="00B46597">
      <w:pPr>
        <w:spacing w:line="360" w:lineRule="auto"/>
        <w:rPr>
          <w:sz w:val="28"/>
          <w:szCs w:val="28"/>
        </w:rPr>
      </w:pPr>
    </w:p>
    <w:p w:rsidR="00AC3B00" w:rsidRPr="00B46597" w:rsidRDefault="00AC3B00" w:rsidP="00B46597">
      <w:pPr>
        <w:spacing w:line="360" w:lineRule="auto"/>
        <w:rPr>
          <w:sz w:val="28"/>
          <w:szCs w:val="28"/>
        </w:rPr>
      </w:pPr>
    </w:p>
    <w:p w:rsidR="00C42E34" w:rsidRDefault="004A7B87" w:rsidP="00BF3F0F">
      <w:pPr>
        <w:shd w:val="clear" w:color="auto" w:fill="FFFFFF" w:themeFill="background1"/>
        <w:spacing w:line="360" w:lineRule="auto"/>
        <w:jc w:val="center"/>
        <w:outlineLvl w:val="0"/>
        <w:rPr>
          <w:rFonts w:ascii="Arial" w:hAnsi="Arial" w:cs="Arial"/>
          <w:b/>
          <w:color w:val="000000" w:themeColor="text1"/>
          <w:sz w:val="24"/>
          <w:szCs w:val="28"/>
        </w:rPr>
      </w:pPr>
      <w:r w:rsidRPr="00BF3F0F">
        <w:rPr>
          <w:rFonts w:ascii="Arial" w:hAnsi="Arial" w:cs="Arial"/>
          <w:b/>
          <w:color w:val="000000" w:themeColor="text1"/>
          <w:sz w:val="24"/>
          <w:szCs w:val="28"/>
        </w:rPr>
        <w:t>Composition portefeuille</w:t>
      </w:r>
    </w:p>
    <w:p w:rsidR="00B60A0B" w:rsidRPr="00BF3F0F" w:rsidRDefault="00B60A0B" w:rsidP="00BF3F0F">
      <w:pPr>
        <w:shd w:val="clear" w:color="auto" w:fill="FFFFFF" w:themeFill="background1"/>
        <w:spacing w:line="360" w:lineRule="auto"/>
        <w:jc w:val="center"/>
        <w:outlineLvl w:val="0"/>
        <w:rPr>
          <w:rFonts w:ascii="Arial" w:hAnsi="Arial" w:cs="Arial"/>
          <w:b/>
          <w:color w:val="000000" w:themeColor="text1"/>
          <w:sz w:val="24"/>
          <w:szCs w:val="28"/>
        </w:rPr>
      </w:pPr>
    </w:p>
    <w:p w:rsidR="00C42E34" w:rsidRDefault="00251D9D" w:rsidP="004A7B87">
      <w:pPr>
        <w:spacing w:line="360" w:lineRule="auto"/>
        <w:rPr>
          <w:sz w:val="28"/>
          <w:szCs w:val="28"/>
        </w:rPr>
      </w:pPr>
      <w:r>
        <w:rPr>
          <w:noProof/>
          <w:lang w:eastAsia="fr-FR"/>
        </w:rPr>
        <w:drawing>
          <wp:inline distT="0" distB="0" distL="0" distR="0" wp14:anchorId="283947F8" wp14:editId="002E54E4">
            <wp:extent cx="2654935" cy="2181860"/>
            <wp:effectExtent l="0" t="0" r="12065" b="889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493E" w:rsidRDefault="0071493E" w:rsidP="004A7B87">
      <w:pPr>
        <w:spacing w:line="360" w:lineRule="auto"/>
        <w:rPr>
          <w:sz w:val="28"/>
          <w:szCs w:val="28"/>
        </w:rPr>
      </w:pPr>
    </w:p>
    <w:p w:rsidR="004A7B87" w:rsidRPr="00BF3F0F" w:rsidRDefault="004A7B87" w:rsidP="00BF3F0F">
      <w:pPr>
        <w:shd w:val="clear" w:color="auto" w:fill="FFFFFF" w:themeFill="background1"/>
        <w:spacing w:line="360" w:lineRule="auto"/>
        <w:jc w:val="center"/>
        <w:outlineLvl w:val="0"/>
        <w:rPr>
          <w:rFonts w:ascii="Arial" w:hAnsi="Arial" w:cs="Arial"/>
          <w:b/>
          <w:color w:val="000000" w:themeColor="text1"/>
          <w:sz w:val="24"/>
          <w:szCs w:val="28"/>
        </w:rPr>
      </w:pPr>
      <w:r w:rsidRPr="00BF3F0F">
        <w:rPr>
          <w:rFonts w:ascii="Arial" w:hAnsi="Arial" w:cs="Arial"/>
          <w:b/>
          <w:color w:val="000000" w:themeColor="text1"/>
          <w:sz w:val="24"/>
          <w:szCs w:val="28"/>
        </w:rPr>
        <w:t>COMMENTAIRE DE GESTION</w:t>
      </w:r>
    </w:p>
    <w:p w:rsidR="007962A2" w:rsidRPr="00B46597" w:rsidRDefault="00AE3460" w:rsidP="007737BC">
      <w:pPr>
        <w:spacing w:line="360" w:lineRule="auto"/>
        <w:rPr>
          <w:rFonts w:ascii="Arial" w:hAnsi="Arial" w:cs="Arial"/>
          <w:sz w:val="24"/>
          <w:szCs w:val="28"/>
        </w:rPr>
      </w:pPr>
      <w:r>
        <w:rPr>
          <w:rFonts w:ascii="Arial" w:hAnsi="Arial" w:cs="Arial"/>
          <w:sz w:val="24"/>
          <w:szCs w:val="28"/>
        </w:rPr>
        <w:t>Le FCP</w:t>
      </w:r>
      <w:r w:rsidR="007737BC">
        <w:rPr>
          <w:rFonts w:ascii="Arial" w:hAnsi="Arial" w:cs="Arial"/>
          <w:sz w:val="24"/>
          <w:szCs w:val="28"/>
        </w:rPr>
        <w:t xml:space="preserve"> </w:t>
      </w:r>
      <w:r w:rsidR="00693826">
        <w:rPr>
          <w:rFonts w:ascii="Arial" w:hAnsi="Arial" w:cs="Arial"/>
          <w:sz w:val="24"/>
          <w:szCs w:val="28"/>
        </w:rPr>
        <w:t>TOUNKARANKE</w:t>
      </w:r>
      <w:r w:rsidR="004A7B87" w:rsidRPr="00ED797C">
        <w:rPr>
          <w:rFonts w:ascii="Arial" w:hAnsi="Arial" w:cs="Arial"/>
          <w:sz w:val="24"/>
          <w:szCs w:val="28"/>
        </w:rPr>
        <w:t xml:space="preserve"> </w:t>
      </w:r>
      <w:r w:rsidR="001662A7">
        <w:rPr>
          <w:rFonts w:ascii="Arial" w:hAnsi="Arial" w:cs="Arial"/>
          <w:sz w:val="24"/>
          <w:szCs w:val="28"/>
        </w:rPr>
        <w:t>affiche</w:t>
      </w:r>
      <w:r w:rsidR="004A7B87" w:rsidRPr="00ED797C">
        <w:rPr>
          <w:rFonts w:ascii="Arial" w:hAnsi="Arial" w:cs="Arial"/>
          <w:sz w:val="24"/>
          <w:szCs w:val="28"/>
        </w:rPr>
        <w:t xml:space="preserve"> une </w:t>
      </w:r>
      <w:r w:rsidR="005772DE">
        <w:rPr>
          <w:rFonts w:ascii="Arial" w:hAnsi="Arial" w:cs="Arial"/>
          <w:sz w:val="24"/>
          <w:szCs w:val="28"/>
        </w:rPr>
        <w:t>Valeur Liquidative de</w:t>
      </w:r>
      <w:r w:rsidR="00AB4B8A">
        <w:rPr>
          <w:rFonts w:ascii="Arial" w:hAnsi="Arial" w:cs="Arial"/>
          <w:sz w:val="24"/>
          <w:szCs w:val="28"/>
        </w:rPr>
        <w:t>100 753,3534</w:t>
      </w:r>
      <w:r w:rsidR="005772DE">
        <w:rPr>
          <w:rFonts w:ascii="Arial" w:hAnsi="Arial" w:cs="Arial"/>
          <w:sz w:val="24"/>
          <w:szCs w:val="28"/>
        </w:rPr>
        <w:t xml:space="preserve"> </w:t>
      </w:r>
      <w:r w:rsidR="005772DE" w:rsidRPr="001662A7">
        <w:rPr>
          <w:rFonts w:ascii="Arial" w:hAnsi="Arial" w:cs="Arial"/>
          <w:b/>
          <w:sz w:val="24"/>
          <w:szCs w:val="28"/>
        </w:rPr>
        <w:t>FCFA</w:t>
      </w:r>
      <w:r w:rsidR="001662A7">
        <w:rPr>
          <w:rFonts w:ascii="Arial" w:hAnsi="Arial" w:cs="Arial"/>
          <w:b/>
          <w:sz w:val="24"/>
          <w:szCs w:val="28"/>
        </w:rPr>
        <w:t xml:space="preserve"> </w:t>
      </w:r>
      <w:r w:rsidR="00AB4B8A">
        <w:rPr>
          <w:rFonts w:ascii="Arial" w:hAnsi="Arial" w:cs="Arial"/>
          <w:sz w:val="24"/>
          <w:szCs w:val="28"/>
        </w:rPr>
        <w:t>au 31/03/2020</w:t>
      </w:r>
      <w:r w:rsidR="00B46BDD">
        <w:rPr>
          <w:rFonts w:ascii="Arial" w:hAnsi="Arial" w:cs="Arial"/>
          <w:b/>
          <w:sz w:val="24"/>
          <w:szCs w:val="28"/>
        </w:rPr>
        <w:t xml:space="preserve"> </w:t>
      </w:r>
      <w:r w:rsidR="00B46BDD" w:rsidRPr="00B46BDD">
        <w:rPr>
          <w:rFonts w:ascii="Arial" w:hAnsi="Arial" w:cs="Arial"/>
          <w:sz w:val="24"/>
          <w:szCs w:val="28"/>
        </w:rPr>
        <w:t>contre une V</w:t>
      </w:r>
      <w:r w:rsidR="00B46BDD">
        <w:rPr>
          <w:rFonts w:ascii="Arial" w:hAnsi="Arial" w:cs="Arial"/>
          <w:sz w:val="24"/>
          <w:szCs w:val="28"/>
        </w:rPr>
        <w:t xml:space="preserve">aleur </w:t>
      </w:r>
      <w:r w:rsidR="00B46BDD" w:rsidRPr="00B46BDD">
        <w:rPr>
          <w:rFonts w:ascii="Arial" w:hAnsi="Arial" w:cs="Arial"/>
          <w:sz w:val="24"/>
          <w:szCs w:val="28"/>
        </w:rPr>
        <w:t>L</w:t>
      </w:r>
      <w:r w:rsidR="00B46BDD">
        <w:rPr>
          <w:rFonts w:ascii="Arial" w:hAnsi="Arial" w:cs="Arial"/>
          <w:sz w:val="24"/>
          <w:szCs w:val="28"/>
        </w:rPr>
        <w:t>iquidative</w:t>
      </w:r>
      <w:r w:rsidR="00B46BDD">
        <w:rPr>
          <w:rFonts w:ascii="Arial" w:hAnsi="Arial" w:cs="Arial"/>
          <w:b/>
          <w:sz w:val="24"/>
          <w:szCs w:val="28"/>
        </w:rPr>
        <w:t xml:space="preserve"> de </w:t>
      </w:r>
      <w:r w:rsidR="00AB4B8A">
        <w:rPr>
          <w:rFonts w:ascii="Arial" w:hAnsi="Arial" w:cs="Arial"/>
          <w:b/>
          <w:sz w:val="24"/>
        </w:rPr>
        <w:t>100 088,9628</w:t>
      </w:r>
      <w:r w:rsidR="009C2CD6">
        <w:rPr>
          <w:rFonts w:ascii="Arial" w:hAnsi="Arial" w:cs="Arial"/>
          <w:sz w:val="24"/>
          <w:szCs w:val="28"/>
        </w:rPr>
        <w:t xml:space="preserve"> </w:t>
      </w:r>
      <w:r w:rsidR="00B46BDD">
        <w:rPr>
          <w:rFonts w:ascii="Arial" w:hAnsi="Arial" w:cs="Arial"/>
          <w:b/>
          <w:sz w:val="24"/>
          <w:szCs w:val="28"/>
        </w:rPr>
        <w:t xml:space="preserve">F CFA </w:t>
      </w:r>
      <w:r w:rsidR="00B46BDD" w:rsidRPr="007D2B86">
        <w:rPr>
          <w:rFonts w:ascii="Arial" w:hAnsi="Arial" w:cs="Arial"/>
          <w:sz w:val="24"/>
          <w:szCs w:val="28"/>
        </w:rPr>
        <w:t xml:space="preserve">au </w:t>
      </w:r>
      <w:r w:rsidR="00017F2F">
        <w:rPr>
          <w:rFonts w:ascii="Arial" w:hAnsi="Arial" w:cs="Arial"/>
          <w:sz w:val="24"/>
          <w:szCs w:val="28"/>
        </w:rPr>
        <w:t>3</w:t>
      </w:r>
      <w:r w:rsidR="00AB4B8A">
        <w:rPr>
          <w:rFonts w:ascii="Arial" w:hAnsi="Arial" w:cs="Arial"/>
          <w:sz w:val="24"/>
          <w:szCs w:val="28"/>
        </w:rPr>
        <w:t>1</w:t>
      </w:r>
      <w:r w:rsidR="00E46A76">
        <w:rPr>
          <w:rFonts w:ascii="Arial" w:hAnsi="Arial" w:cs="Arial"/>
          <w:sz w:val="24"/>
          <w:szCs w:val="28"/>
        </w:rPr>
        <w:t>/</w:t>
      </w:r>
      <w:r w:rsidR="00AB4B8A">
        <w:rPr>
          <w:rFonts w:ascii="Arial" w:hAnsi="Arial" w:cs="Arial"/>
          <w:sz w:val="24"/>
          <w:szCs w:val="28"/>
        </w:rPr>
        <w:t>12</w:t>
      </w:r>
      <w:r w:rsidR="00B60A0B">
        <w:rPr>
          <w:rFonts w:ascii="Arial" w:hAnsi="Arial" w:cs="Arial"/>
          <w:sz w:val="24"/>
          <w:szCs w:val="28"/>
        </w:rPr>
        <w:t>/2019</w:t>
      </w:r>
      <w:r w:rsidR="00E46A76">
        <w:rPr>
          <w:rFonts w:ascii="Arial" w:hAnsi="Arial" w:cs="Arial"/>
          <w:sz w:val="24"/>
          <w:szCs w:val="28"/>
        </w:rPr>
        <w:t xml:space="preserve"> soit une hausse de </w:t>
      </w:r>
      <w:r w:rsidR="00AB4B8A">
        <w:rPr>
          <w:rFonts w:ascii="Arial" w:hAnsi="Arial" w:cs="Arial"/>
          <w:sz w:val="24"/>
          <w:szCs w:val="28"/>
        </w:rPr>
        <w:t>0,66</w:t>
      </w:r>
      <w:r w:rsidR="00E46A76">
        <w:rPr>
          <w:rFonts w:ascii="Arial" w:hAnsi="Arial" w:cs="Arial"/>
          <w:sz w:val="24"/>
          <w:szCs w:val="28"/>
        </w:rPr>
        <w:t>%</w:t>
      </w:r>
      <w:r w:rsidR="005772DE">
        <w:rPr>
          <w:rFonts w:ascii="Arial" w:hAnsi="Arial" w:cs="Arial"/>
          <w:sz w:val="24"/>
          <w:szCs w:val="28"/>
        </w:rPr>
        <w:t>.</w:t>
      </w:r>
      <w:r w:rsidR="00E46A76">
        <w:rPr>
          <w:rFonts w:ascii="Arial" w:hAnsi="Arial" w:cs="Arial"/>
          <w:sz w:val="24"/>
          <w:szCs w:val="28"/>
        </w:rPr>
        <w:t xml:space="preserve"> </w:t>
      </w:r>
    </w:p>
    <w:sectPr w:rsidR="007962A2" w:rsidRPr="00B46597" w:rsidSect="00C42E34">
      <w:type w:val="continuous"/>
      <w:pgSz w:w="11906" w:h="16838" w:code="9"/>
      <w:pgMar w:top="1417" w:right="1417" w:bottom="1417" w:left="1417" w:header="708" w:footer="708"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55" w:rsidRDefault="00791B55" w:rsidP="00C42E34">
      <w:pPr>
        <w:spacing w:after="0" w:line="240" w:lineRule="auto"/>
      </w:pPr>
      <w:r>
        <w:separator/>
      </w:r>
    </w:p>
  </w:endnote>
  <w:endnote w:type="continuationSeparator" w:id="0">
    <w:p w:rsidR="00791B55" w:rsidRDefault="00791B55" w:rsidP="00C4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55" w:rsidRDefault="00791B55" w:rsidP="00C42E34">
      <w:pPr>
        <w:spacing w:after="0" w:line="240" w:lineRule="auto"/>
      </w:pPr>
      <w:r>
        <w:separator/>
      </w:r>
    </w:p>
  </w:footnote>
  <w:footnote w:type="continuationSeparator" w:id="0">
    <w:p w:rsidR="00791B55" w:rsidRDefault="00791B55" w:rsidP="00C42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6708F"/>
    <w:multiLevelType w:val="hybridMultilevel"/>
    <w:tmpl w:val="F5403172"/>
    <w:lvl w:ilvl="0" w:tplc="A2A625B8">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87"/>
    <w:rsid w:val="00017F2F"/>
    <w:rsid w:val="00084B32"/>
    <w:rsid w:val="000A260C"/>
    <w:rsid w:val="000E7CBA"/>
    <w:rsid w:val="0011457C"/>
    <w:rsid w:val="00127AE2"/>
    <w:rsid w:val="001333BF"/>
    <w:rsid w:val="001662A7"/>
    <w:rsid w:val="00173705"/>
    <w:rsid w:val="001926FF"/>
    <w:rsid w:val="001F2AD9"/>
    <w:rsid w:val="0022541E"/>
    <w:rsid w:val="00251D9D"/>
    <w:rsid w:val="00271FC9"/>
    <w:rsid w:val="00275D2A"/>
    <w:rsid w:val="00296D81"/>
    <w:rsid w:val="002B165D"/>
    <w:rsid w:val="002D5CF8"/>
    <w:rsid w:val="002F046A"/>
    <w:rsid w:val="00374D53"/>
    <w:rsid w:val="00461612"/>
    <w:rsid w:val="00473850"/>
    <w:rsid w:val="004A7B87"/>
    <w:rsid w:val="005044D9"/>
    <w:rsid w:val="0053400D"/>
    <w:rsid w:val="005376BB"/>
    <w:rsid w:val="005418C6"/>
    <w:rsid w:val="00543785"/>
    <w:rsid w:val="005772DE"/>
    <w:rsid w:val="005B4576"/>
    <w:rsid w:val="005F66CA"/>
    <w:rsid w:val="00603B51"/>
    <w:rsid w:val="00650D58"/>
    <w:rsid w:val="00693826"/>
    <w:rsid w:val="006D50EE"/>
    <w:rsid w:val="00701A39"/>
    <w:rsid w:val="00705249"/>
    <w:rsid w:val="0071493E"/>
    <w:rsid w:val="00755726"/>
    <w:rsid w:val="007571D2"/>
    <w:rsid w:val="00773535"/>
    <w:rsid w:val="007737BC"/>
    <w:rsid w:val="00791B55"/>
    <w:rsid w:val="007962A2"/>
    <w:rsid w:val="007D2B86"/>
    <w:rsid w:val="008557F0"/>
    <w:rsid w:val="008774A0"/>
    <w:rsid w:val="00896D89"/>
    <w:rsid w:val="00930A33"/>
    <w:rsid w:val="009858BD"/>
    <w:rsid w:val="009B39C4"/>
    <w:rsid w:val="009C2CD6"/>
    <w:rsid w:val="009D598C"/>
    <w:rsid w:val="009F6E25"/>
    <w:rsid w:val="009F78ED"/>
    <w:rsid w:val="00A00266"/>
    <w:rsid w:val="00A0499F"/>
    <w:rsid w:val="00A30281"/>
    <w:rsid w:val="00A85BFD"/>
    <w:rsid w:val="00A92D83"/>
    <w:rsid w:val="00AB4B8A"/>
    <w:rsid w:val="00AC3B00"/>
    <w:rsid w:val="00AC7EFB"/>
    <w:rsid w:val="00AE3460"/>
    <w:rsid w:val="00B00CCA"/>
    <w:rsid w:val="00B07FFC"/>
    <w:rsid w:val="00B46597"/>
    <w:rsid w:val="00B46BDD"/>
    <w:rsid w:val="00B60A0B"/>
    <w:rsid w:val="00B9502E"/>
    <w:rsid w:val="00BD2E30"/>
    <w:rsid w:val="00BF3F0F"/>
    <w:rsid w:val="00C42E34"/>
    <w:rsid w:val="00C54936"/>
    <w:rsid w:val="00C62AB6"/>
    <w:rsid w:val="00C85A71"/>
    <w:rsid w:val="00C8684C"/>
    <w:rsid w:val="00CA3EF6"/>
    <w:rsid w:val="00CA7A58"/>
    <w:rsid w:val="00CB7882"/>
    <w:rsid w:val="00CB7A2B"/>
    <w:rsid w:val="00CC5568"/>
    <w:rsid w:val="00D113A2"/>
    <w:rsid w:val="00D11F6A"/>
    <w:rsid w:val="00D17B12"/>
    <w:rsid w:val="00D302FA"/>
    <w:rsid w:val="00D3692B"/>
    <w:rsid w:val="00D60A6F"/>
    <w:rsid w:val="00D61A94"/>
    <w:rsid w:val="00DA15CF"/>
    <w:rsid w:val="00E15B5C"/>
    <w:rsid w:val="00E17911"/>
    <w:rsid w:val="00E27760"/>
    <w:rsid w:val="00E46A76"/>
    <w:rsid w:val="00E51D23"/>
    <w:rsid w:val="00E75E32"/>
    <w:rsid w:val="00EC1650"/>
    <w:rsid w:val="00ED797C"/>
    <w:rsid w:val="00F378E4"/>
    <w:rsid w:val="00F95E24"/>
    <w:rsid w:val="00FA20A8"/>
    <w:rsid w:val="00FB2BC6"/>
    <w:rsid w:val="00FD5DC4"/>
    <w:rsid w:val="00FE3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D9C57-ACFB-4533-BB68-812B6141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A7B87"/>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22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F378E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F378E4"/>
    <w:rPr>
      <w:rFonts w:eastAsiaTheme="minorEastAsia"/>
    </w:rPr>
  </w:style>
  <w:style w:type="paragraph" w:styleId="En-tte">
    <w:name w:val="header"/>
    <w:basedOn w:val="Normal"/>
    <w:link w:val="En-tteCar"/>
    <w:uiPriority w:val="99"/>
    <w:semiHidden/>
    <w:unhideWhenUsed/>
    <w:rsid w:val="00C42E3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2E34"/>
  </w:style>
  <w:style w:type="paragraph" w:styleId="Pieddepage">
    <w:name w:val="footer"/>
    <w:basedOn w:val="Normal"/>
    <w:link w:val="PieddepageCar"/>
    <w:uiPriority w:val="99"/>
    <w:semiHidden/>
    <w:unhideWhenUsed/>
    <w:rsid w:val="00C42E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2E34"/>
  </w:style>
  <w:style w:type="paragraph" w:styleId="Textedebulles">
    <w:name w:val="Balloon Text"/>
    <w:basedOn w:val="Normal"/>
    <w:link w:val="TextedebullesCar"/>
    <w:uiPriority w:val="99"/>
    <w:semiHidden/>
    <w:unhideWhenUsed/>
    <w:rsid w:val="00A92D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D83"/>
    <w:rPr>
      <w:rFonts w:ascii="Tahoma" w:hAnsi="Tahoma" w:cs="Tahoma"/>
      <w:sz w:val="16"/>
      <w:szCs w:val="16"/>
    </w:rPr>
  </w:style>
  <w:style w:type="paragraph" w:styleId="Paragraphedeliste">
    <w:name w:val="List Paragraph"/>
    <w:basedOn w:val="Normal"/>
    <w:link w:val="ParagraphedelisteCar"/>
    <w:uiPriority w:val="34"/>
    <w:qFormat/>
    <w:rsid w:val="00AE3460"/>
    <w:pPr>
      <w:spacing w:after="0" w:line="240" w:lineRule="auto"/>
      <w:ind w:left="720"/>
      <w:contextualSpacing/>
    </w:pPr>
    <w:rPr>
      <w:rFonts w:ascii="Times New Roman" w:eastAsia="Times New Roman" w:hAnsi="Times New Roman" w:cs="Times New Roman"/>
      <w:sz w:val="24"/>
      <w:szCs w:val="24"/>
    </w:rPr>
  </w:style>
  <w:style w:type="character" w:customStyle="1" w:styleId="ParagraphedelisteCar">
    <w:name w:val="Paragraphe de liste Car"/>
    <w:link w:val="Paragraphedeliste"/>
    <w:uiPriority w:val="34"/>
    <w:locked/>
    <w:rsid w:val="00AE34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GO\Documents\Etat%20valeur%20liquadative%20FCP%20TOUNKARANK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GO\Documents\Etat%20valeur%20liquadative%20FCP%20TOUNKARANK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GO\Documents\Inventaire%20du%20FCP%20TOUNKARANKE%20au%2043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a:t>
            </a:r>
            <a:r>
              <a:rPr lang="en-US" baseline="0"/>
              <a:t> de la </a:t>
            </a:r>
            <a:r>
              <a:rPr lang="en-US"/>
              <a:t>VL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areaChart>
        <c:grouping val="standard"/>
        <c:varyColors val="0"/>
        <c:ser>
          <c:idx val="0"/>
          <c:order val="0"/>
          <c:tx>
            <c:strRef>
              <c:f>Sheet!$B$1</c:f>
              <c:strCache>
                <c:ptCount val="1"/>
                <c:pt idx="0">
                  <c:v>Valeur Liquidative</c:v>
                </c:pt>
              </c:strCache>
            </c:strRef>
          </c:tx>
          <c:spPr>
            <a:solidFill>
              <a:schemeClr val="tx1">
                <a:lumMod val="50000"/>
                <a:lumOff val="50000"/>
              </a:schemeClr>
            </a:solidFill>
            <a:ln>
              <a:noFill/>
            </a:ln>
            <a:effectLst/>
          </c:spPr>
          <c:cat>
            <c:numRef>
              <c:f>Sheet!$A$2:$A$4</c:f>
              <c:numCache>
                <c:formatCode>m/d/yyyy</c:formatCode>
                <c:ptCount val="3"/>
                <c:pt idx="0">
                  <c:v>43831</c:v>
                </c:pt>
                <c:pt idx="1">
                  <c:v>43866</c:v>
                </c:pt>
                <c:pt idx="2">
                  <c:v>43894</c:v>
                </c:pt>
              </c:numCache>
            </c:numRef>
          </c:cat>
          <c:val>
            <c:numRef>
              <c:f>Sheet!$B$2:$B$4</c:f>
              <c:numCache>
                <c:formatCode>#,##0.0000</c:formatCode>
                <c:ptCount val="3"/>
                <c:pt idx="0">
                  <c:v>100085.3874517544</c:v>
                </c:pt>
                <c:pt idx="1">
                  <c:v>100352.4672875442</c:v>
                </c:pt>
                <c:pt idx="2">
                  <c:v>100580.78506681661</c:v>
                </c:pt>
              </c:numCache>
            </c:numRef>
          </c:val>
        </c:ser>
        <c:dLbls>
          <c:showLegendKey val="0"/>
          <c:showVal val="0"/>
          <c:showCatName val="0"/>
          <c:showSerName val="0"/>
          <c:showPercent val="0"/>
          <c:showBubbleSize val="0"/>
        </c:dLbls>
        <c:axId val="77583136"/>
        <c:axId val="77579216"/>
      </c:areaChart>
      <c:dateAx>
        <c:axId val="775831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7579216"/>
        <c:crosses val="autoZero"/>
        <c:auto val="1"/>
        <c:lblOffset val="100"/>
        <c:baseTimeUnit val="months"/>
      </c:dateAx>
      <c:valAx>
        <c:axId val="77579216"/>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7583136"/>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de l'actif Net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Sheet!$B$1</c:f>
              <c:strCache>
                <c:ptCount val="1"/>
                <c:pt idx="0">
                  <c:v>Actif Net</c:v>
                </c:pt>
              </c:strCache>
            </c:strRef>
          </c:tx>
          <c:spPr>
            <a:ln w="28575" cap="rnd">
              <a:solidFill>
                <a:schemeClr val="accent1"/>
              </a:solidFill>
              <a:round/>
            </a:ln>
            <a:effectLst/>
          </c:spPr>
          <c:marker>
            <c:symbol val="none"/>
          </c:marker>
          <c:cat>
            <c:numRef>
              <c:f>Sheet!$A$2:$A$4</c:f>
              <c:numCache>
                <c:formatCode>m/d/yyyy</c:formatCode>
                <c:ptCount val="3"/>
                <c:pt idx="0">
                  <c:v>43831</c:v>
                </c:pt>
                <c:pt idx="1">
                  <c:v>43866</c:v>
                </c:pt>
                <c:pt idx="2">
                  <c:v>43894</c:v>
                </c:pt>
              </c:numCache>
            </c:numRef>
          </c:cat>
          <c:val>
            <c:numRef>
              <c:f>Sheet!$B$2:$B$4</c:f>
              <c:numCache>
                <c:formatCode>#,##0</c:formatCode>
                <c:ptCount val="3"/>
                <c:pt idx="0">
                  <c:v>151836986</c:v>
                </c:pt>
                <c:pt idx="1">
                  <c:v>152242166</c:v>
                </c:pt>
                <c:pt idx="2">
                  <c:v>157595205</c:v>
                </c:pt>
              </c:numCache>
            </c:numRef>
          </c:val>
          <c:smooth val="0"/>
        </c:ser>
        <c:dLbls>
          <c:showLegendKey val="0"/>
          <c:showVal val="0"/>
          <c:showCatName val="0"/>
          <c:showSerName val="0"/>
          <c:showPercent val="0"/>
          <c:showBubbleSize val="0"/>
        </c:dLbls>
        <c:smooth val="0"/>
        <c:axId val="77578432"/>
        <c:axId val="77582352"/>
      </c:lineChart>
      <c:dateAx>
        <c:axId val="7757843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7582352"/>
        <c:crosses val="autoZero"/>
        <c:auto val="1"/>
        <c:lblOffset val="100"/>
        <c:baseTimeUnit val="months"/>
      </c:dateAx>
      <c:valAx>
        <c:axId val="7758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757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Composition</a:t>
            </a:r>
            <a:r>
              <a:rPr lang="en-US" baseline="0"/>
              <a:t> du portefeuille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Sheet!$B$1</c:f>
              <c:strCache>
                <c:ptCount val="1"/>
                <c:pt idx="0">
                  <c:v>Valorisation</c:v>
                </c:pt>
              </c:strCache>
            </c:strRef>
          </c:tx>
          <c:dPt>
            <c:idx val="0"/>
            <c:bubble3D val="0"/>
            <c:spPr>
              <a:solidFill>
                <a:schemeClr val="accent1"/>
              </a:solidFill>
              <a:ln w="19050">
                <a:solidFill>
                  <a:schemeClr val="lt1"/>
                </a:solidFill>
              </a:ln>
              <a:effectLst/>
            </c:spPr>
          </c:dPt>
          <c:dPt>
            <c:idx val="1"/>
            <c:bubble3D val="0"/>
            <c:spPr>
              <a:solidFill>
                <a:schemeClr val="bg1">
                  <a:lumMod val="65000"/>
                </a:schemeClr>
              </a:solidFill>
              <a:ln w="19050">
                <a:solidFill>
                  <a:schemeClr val="lt1"/>
                </a:solidFill>
              </a:ln>
              <a:effectLst/>
            </c:spPr>
          </c:dPt>
          <c:cat>
            <c:strRef>
              <c:f>Sheet!$A$2:$A$3</c:f>
              <c:strCache>
                <c:ptCount val="2"/>
                <c:pt idx="0">
                  <c:v> Banque </c:v>
                </c:pt>
                <c:pt idx="1">
                  <c:v> Obligation </c:v>
                </c:pt>
              </c:strCache>
            </c:strRef>
          </c:cat>
          <c:val>
            <c:numRef>
              <c:f>Sheet!$B$2:$B$3</c:f>
              <c:numCache>
                <c:formatCode>#,##0.00</c:formatCode>
                <c:ptCount val="2"/>
                <c:pt idx="0" formatCode="#,##0">
                  <c:v>26342124</c:v>
                </c:pt>
                <c:pt idx="1">
                  <c:v>131096573.77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6A9D6-84C4-4C7A-9452-B7323973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2572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yattassayeamy220@gmail.com</cp:lastModifiedBy>
  <cp:revision>2</cp:revision>
  <cp:lastPrinted>2019-01-11T15:17:00Z</cp:lastPrinted>
  <dcterms:created xsi:type="dcterms:W3CDTF">2020-04-15T16:11:00Z</dcterms:created>
  <dcterms:modified xsi:type="dcterms:W3CDTF">2020-04-15T16:11:00Z</dcterms:modified>
</cp:coreProperties>
</file>