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87" w:rsidRPr="004A7B87" w:rsidRDefault="00DD49A5" w:rsidP="004A7B87">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226060</wp:posOffset>
                </wp:positionV>
                <wp:extent cx="5937885" cy="760095"/>
                <wp:effectExtent l="5080" t="11430" r="1016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760095"/>
                        </a:xfrm>
                        <a:prstGeom prst="rect">
                          <a:avLst/>
                        </a:prstGeom>
                        <a:solidFill>
                          <a:srgbClr val="FFFFFF"/>
                        </a:solidFill>
                        <a:ln w="9525">
                          <a:solidFill>
                            <a:srgbClr val="000000"/>
                          </a:solidFill>
                          <a:miter lim="800000"/>
                          <a:headEnd/>
                          <a:tailEnd/>
                        </a:ln>
                      </wps:spPr>
                      <wps:txbx>
                        <w:txbxContent>
                          <w:p w:rsidR="004A7B87" w:rsidRPr="004274CF" w:rsidRDefault="004A7B87" w:rsidP="00DA15CF">
                            <w:pPr>
                              <w:shd w:val="clear" w:color="auto" w:fill="365F91" w:themeFill="accent1" w:themeFillShade="BF"/>
                              <w:jc w:val="center"/>
                              <w:rPr>
                                <w:rFonts w:ascii="Times New Roman" w:hAnsi="Times New Roman" w:cs="Times New Roman"/>
                                <w:color w:val="FFFFFF" w:themeColor="background1"/>
                              </w:rPr>
                            </w:pPr>
                            <w:r w:rsidRPr="004274CF">
                              <w:rPr>
                                <w:rFonts w:ascii="Times New Roman" w:hAnsi="Times New Roman" w:cs="Times New Roman"/>
                                <w:b/>
                                <w:bCs/>
                                <w:color w:val="FFFFFF" w:themeColor="background1"/>
                                <w:sz w:val="96"/>
                                <w:szCs w:val="28"/>
                              </w:rPr>
                              <w:t>FCP</w:t>
                            </w:r>
                            <w:r w:rsidR="00CC5568">
                              <w:rPr>
                                <w:rFonts w:ascii="Times New Roman" w:hAnsi="Times New Roman" w:cs="Times New Roman"/>
                                <w:b/>
                                <w:bCs/>
                                <w:color w:val="FFFFFF" w:themeColor="background1"/>
                                <w:sz w:val="96"/>
                                <w:szCs w:val="28"/>
                              </w:rPr>
                              <w:t xml:space="preserve"> NYESIGUI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17.8pt;width:467.5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">
                <v:textbox>
                  <w:txbxContent>
                    <w:p w:rsidR="004A7B87" w:rsidRPr="004274CF" w:rsidRDefault="004A7B87" w:rsidP="00DA15CF">
                      <w:pPr>
                        <w:shd w:val="clear" w:color="auto" w:fill="365F91" w:themeFill="accent1" w:themeFillShade="BF"/>
                        <w:jc w:val="center"/>
                        <w:rPr>
                          <w:rFonts w:ascii="Times New Roman" w:hAnsi="Times New Roman" w:cs="Times New Roman"/>
                          <w:color w:val="FFFFFF" w:themeColor="background1"/>
                        </w:rPr>
                      </w:pPr>
                      <w:r w:rsidRPr="004274CF">
                        <w:rPr>
                          <w:rFonts w:ascii="Times New Roman" w:hAnsi="Times New Roman" w:cs="Times New Roman"/>
                          <w:b/>
                          <w:bCs/>
                          <w:color w:val="FFFFFF" w:themeColor="background1"/>
                          <w:sz w:val="96"/>
                          <w:szCs w:val="28"/>
                        </w:rPr>
                        <w:t>FCP</w:t>
                      </w:r>
                      <w:r w:rsidR="00CC5568">
                        <w:rPr>
                          <w:rFonts w:ascii="Times New Roman" w:hAnsi="Times New Roman" w:cs="Times New Roman"/>
                          <w:b/>
                          <w:bCs/>
                          <w:color w:val="FFFFFF" w:themeColor="background1"/>
                          <w:sz w:val="96"/>
                          <w:szCs w:val="28"/>
                        </w:rPr>
                        <w:t xml:space="preserve"> NYESIGUI</w:t>
                      </w:r>
                    </w:p>
                  </w:txbxContent>
                </v:textbox>
              </v:rect>
            </w:pict>
          </mc:Fallback>
        </mc:AlternateContent>
      </w:r>
    </w:p>
    <w:p w:rsidR="004A7B87" w:rsidRPr="004A7B87" w:rsidRDefault="004A7B87" w:rsidP="004A7B87"/>
    <w:p w:rsidR="004A7B87" w:rsidRDefault="004A7B87" w:rsidP="004A7B87"/>
    <w:p w:rsidR="00650D58" w:rsidRDefault="00650D58" w:rsidP="004A7B87"/>
    <w:p w:rsidR="004A7B87" w:rsidRDefault="009858BD" w:rsidP="004A7B87">
      <w:pPr>
        <w:pStyle w:val="Default"/>
        <w:jc w:val="center"/>
        <w:outlineLvl w:val="0"/>
        <w:rPr>
          <w:sz w:val="28"/>
          <w:szCs w:val="28"/>
        </w:rPr>
      </w:pPr>
      <w:r>
        <w:rPr>
          <w:b/>
          <w:bCs/>
          <w:sz w:val="28"/>
          <w:szCs w:val="28"/>
        </w:rPr>
        <w:t>RAPPORT</w:t>
      </w:r>
      <w:r w:rsidR="004A7B87">
        <w:rPr>
          <w:b/>
          <w:bCs/>
          <w:sz w:val="28"/>
          <w:szCs w:val="28"/>
        </w:rPr>
        <w:t xml:space="preserve"> DE GESTION</w:t>
      </w:r>
    </w:p>
    <w:p w:rsidR="00D3692B" w:rsidRDefault="004A7B87" w:rsidP="00650D58">
      <w:pPr>
        <w:pStyle w:val="Default"/>
        <w:jc w:val="center"/>
        <w:outlineLvl w:val="0"/>
        <w:rPr>
          <w:b/>
          <w:bCs/>
          <w:sz w:val="22"/>
          <w:szCs w:val="22"/>
        </w:rPr>
      </w:pPr>
      <w:r>
        <w:rPr>
          <w:b/>
          <w:bCs/>
          <w:sz w:val="22"/>
          <w:szCs w:val="22"/>
        </w:rPr>
        <w:t xml:space="preserve">au </w:t>
      </w:r>
      <w:r w:rsidR="00280DD2">
        <w:rPr>
          <w:b/>
          <w:bCs/>
          <w:sz w:val="22"/>
          <w:szCs w:val="22"/>
        </w:rPr>
        <w:t>31 Mars 2020</w:t>
      </w:r>
    </w:p>
    <w:p w:rsidR="00650D58" w:rsidRPr="00374D53" w:rsidRDefault="00DD49A5" w:rsidP="00650D58">
      <w:pPr>
        <w:pStyle w:val="Default"/>
        <w:jc w:val="center"/>
        <w:outlineLvl w:val="0"/>
        <w:rPr>
          <w:b/>
          <w:bCs/>
          <w:sz w:val="22"/>
          <w:szCs w:val="22"/>
        </w:rPr>
      </w:pPr>
      <w:r>
        <w:rPr>
          <w:b/>
          <w:bCs/>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143510</wp:posOffset>
                </wp:positionV>
                <wp:extent cx="3997960" cy="276225"/>
                <wp:effectExtent l="12065" t="5080" r="9525" b="1397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276225"/>
                        </a:xfrm>
                        <a:prstGeom prst="rect">
                          <a:avLst/>
                        </a:prstGeom>
                        <a:solidFill>
                          <a:srgbClr val="FFFFFF"/>
                        </a:solidFill>
                        <a:ln w="9525">
                          <a:solidFill>
                            <a:srgbClr val="000000"/>
                          </a:solidFill>
                          <a:miter lim="800000"/>
                          <a:headEnd/>
                          <a:tailEnd/>
                        </a:ln>
                      </wps:spPr>
                      <wps:txbx>
                        <w:txbxContent>
                          <w:p w:rsidR="00650D58" w:rsidRPr="00650D58" w:rsidRDefault="00650D58">
                            <w:pPr>
                              <w:rPr>
                                <w:rFonts w:ascii="Arial" w:hAnsi="Arial" w:cs="Arial"/>
                                <w:b/>
                                <w:sz w:val="24"/>
                              </w:rPr>
                            </w:pPr>
                            <w:r w:rsidRPr="00650D58">
                              <w:rPr>
                                <w:rFonts w:ascii="Arial" w:hAnsi="Arial" w:cs="Arial"/>
                                <w:b/>
                                <w:sz w:val="24"/>
                              </w:rPr>
                              <w:t xml:space="preserve">Valeur Liquidative (VL) : </w:t>
                            </w:r>
                            <w:r w:rsidR="00233725">
                              <w:rPr>
                                <w:rFonts w:ascii="Arial" w:hAnsi="Arial" w:cs="Arial"/>
                                <w:b/>
                                <w:sz w:val="24"/>
                              </w:rPr>
                              <w:t>9 119,9744</w:t>
                            </w:r>
                            <w:r w:rsidRPr="00650D58">
                              <w:rPr>
                                <w:rFonts w:ascii="Arial" w:hAnsi="Arial" w:cs="Arial"/>
                                <w:b/>
                                <w:sz w:val="24"/>
                              </w:rPr>
                              <w:t xml:space="preserve"> FCFA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8.1pt;margin-top:11.3pt;width:31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">
                <v:textbox>
                  <w:txbxContent>
                    <w:p w:rsidR="00650D58" w:rsidRPr="00650D58" w:rsidRDefault="00650D58">
                      <w:pPr>
                        <w:rPr>
                          <w:rFonts w:ascii="Arial" w:hAnsi="Arial" w:cs="Arial"/>
                          <w:b/>
                          <w:sz w:val="24"/>
                        </w:rPr>
                      </w:pPr>
                      <w:r w:rsidRPr="00650D58">
                        <w:rPr>
                          <w:rFonts w:ascii="Arial" w:hAnsi="Arial" w:cs="Arial"/>
                          <w:b/>
                          <w:sz w:val="24"/>
                        </w:rPr>
                        <w:t xml:space="preserve">Valeur Liquidative (VL) : </w:t>
                      </w:r>
                      <w:r w:rsidR="00233725">
                        <w:rPr>
                          <w:rFonts w:ascii="Arial" w:hAnsi="Arial" w:cs="Arial"/>
                          <w:b/>
                          <w:sz w:val="24"/>
                        </w:rPr>
                        <w:t>9 119,9744</w:t>
                      </w:r>
                      <w:r w:rsidRPr="00650D58">
                        <w:rPr>
                          <w:rFonts w:ascii="Arial" w:hAnsi="Arial" w:cs="Arial"/>
                          <w:b/>
                          <w:sz w:val="24"/>
                        </w:rPr>
                        <w:t xml:space="preserve"> FCFA</w:t>
                      </w:r>
                    </w:p>
                  </w:txbxContent>
                </v:textbox>
              </v:rect>
            </w:pict>
          </mc:Fallback>
        </mc:AlternateContent>
      </w:r>
    </w:p>
    <w:p w:rsidR="00374D53" w:rsidRDefault="00374D53" w:rsidP="004A7B87">
      <w:pPr>
        <w:pStyle w:val="Default"/>
        <w:spacing w:line="360" w:lineRule="auto"/>
        <w:jc w:val="center"/>
      </w:pPr>
    </w:p>
    <w:p w:rsidR="00650D58" w:rsidRDefault="00650D58" w:rsidP="004A7B87">
      <w:pPr>
        <w:pStyle w:val="Default"/>
        <w:spacing w:line="360" w:lineRule="auto"/>
        <w:jc w:val="center"/>
        <w:rPr>
          <w:sz w:val="22"/>
          <w:szCs w:val="22"/>
        </w:rPr>
      </w:pPr>
    </w:p>
    <w:tbl>
      <w:tblPr>
        <w:tblStyle w:val="Grilledutableau"/>
        <w:tblW w:w="0" w:type="auto"/>
        <w:tblLook w:val="04A0" w:firstRow="1" w:lastRow="0" w:firstColumn="1" w:lastColumn="0" w:noHBand="0" w:noVBand="1"/>
      </w:tblPr>
      <w:tblGrid>
        <w:gridCol w:w="4531"/>
        <w:gridCol w:w="4531"/>
      </w:tblGrid>
      <w:tr w:rsidR="00374D53" w:rsidRPr="0022541E" w:rsidTr="00DA15CF">
        <w:trPr>
          <w:trHeight w:val="980"/>
        </w:trPr>
        <w:tc>
          <w:tcPr>
            <w:tcW w:w="9212" w:type="dxa"/>
            <w:gridSpan w:val="2"/>
            <w:shd w:val="clear" w:color="auto" w:fill="365F91" w:themeFill="accent1" w:themeFillShade="BF"/>
          </w:tcPr>
          <w:p w:rsidR="00374D53" w:rsidRDefault="00374D53" w:rsidP="00DA15CF">
            <w:pPr>
              <w:pStyle w:val="Default"/>
              <w:spacing w:line="360" w:lineRule="auto"/>
              <w:jc w:val="center"/>
              <w:outlineLvl w:val="0"/>
            </w:pPr>
          </w:p>
          <w:p w:rsidR="00374D53" w:rsidRPr="00374D53" w:rsidRDefault="00374D53" w:rsidP="00DA15CF">
            <w:pPr>
              <w:pStyle w:val="Default"/>
              <w:spacing w:line="360" w:lineRule="auto"/>
              <w:jc w:val="center"/>
              <w:outlineLvl w:val="0"/>
              <w:rPr>
                <w:b/>
                <w:color w:val="FFFFFF" w:themeColor="background1"/>
              </w:rPr>
            </w:pPr>
            <w:r w:rsidRPr="00374D53">
              <w:rPr>
                <w:b/>
                <w:color w:val="FFFFFF" w:themeColor="background1"/>
              </w:rPr>
              <w:t>PRESENTATION DU FONDS</w:t>
            </w:r>
          </w:p>
        </w:tc>
      </w:tr>
      <w:tr w:rsidR="0022541E" w:rsidRPr="0022541E" w:rsidTr="00DA15CF">
        <w:tc>
          <w:tcPr>
            <w:tcW w:w="4606" w:type="dxa"/>
            <w:shd w:val="clear" w:color="auto" w:fill="8DB3E2" w:themeFill="text2" w:themeFillTint="66"/>
          </w:tcPr>
          <w:p w:rsidR="0022541E" w:rsidRDefault="0022541E" w:rsidP="007F4500">
            <w:pPr>
              <w:pStyle w:val="Default"/>
              <w:spacing w:line="360" w:lineRule="auto"/>
              <w:outlineLvl w:val="0"/>
              <w:rPr>
                <w:b/>
                <w:bCs/>
                <w:sz w:val="28"/>
                <w:szCs w:val="28"/>
              </w:rPr>
            </w:pPr>
          </w:p>
          <w:p w:rsidR="0022541E" w:rsidRPr="0022541E" w:rsidRDefault="0022541E" w:rsidP="007F4500">
            <w:pPr>
              <w:pStyle w:val="Default"/>
              <w:spacing w:line="360" w:lineRule="auto"/>
              <w:outlineLvl w:val="0"/>
              <w:rPr>
                <w:b/>
                <w:bCs/>
                <w:sz w:val="28"/>
                <w:szCs w:val="28"/>
              </w:rPr>
            </w:pPr>
            <w:r w:rsidRPr="0022541E">
              <w:rPr>
                <w:b/>
                <w:bCs/>
                <w:sz w:val="28"/>
                <w:szCs w:val="28"/>
              </w:rPr>
              <w:t xml:space="preserve">FCP </w:t>
            </w:r>
            <w:r w:rsidR="00CC5568">
              <w:rPr>
                <w:b/>
                <w:bCs/>
                <w:sz w:val="28"/>
                <w:szCs w:val="28"/>
              </w:rPr>
              <w:t>NYESIGUI</w:t>
            </w:r>
          </w:p>
        </w:tc>
        <w:tc>
          <w:tcPr>
            <w:tcW w:w="4606" w:type="dxa"/>
            <w:shd w:val="clear" w:color="auto" w:fill="8DB3E2" w:themeFill="text2" w:themeFillTint="66"/>
          </w:tcPr>
          <w:p w:rsidR="00CC5568" w:rsidRDefault="00CC5568" w:rsidP="00A27393">
            <w:pPr>
              <w:pStyle w:val="Default"/>
              <w:spacing w:line="360" w:lineRule="auto"/>
              <w:outlineLvl w:val="0"/>
            </w:pPr>
          </w:p>
          <w:p w:rsidR="0022541E" w:rsidRPr="0022541E" w:rsidRDefault="0022541E" w:rsidP="00A27393">
            <w:pPr>
              <w:pStyle w:val="Default"/>
              <w:spacing w:line="360" w:lineRule="auto"/>
              <w:outlineLvl w:val="0"/>
            </w:pPr>
            <w:r w:rsidRPr="0022541E">
              <w:t>Fonds c</w:t>
            </w:r>
            <w:r w:rsidR="00CC5568">
              <w:t>ommun de placement</w:t>
            </w:r>
            <w:r w:rsidRPr="0022541E">
              <w:t xml:space="preserve">. </w:t>
            </w:r>
          </w:p>
        </w:tc>
      </w:tr>
      <w:tr w:rsidR="0022541E" w:rsidRPr="0022541E" w:rsidTr="00CC5568">
        <w:trPr>
          <w:trHeight w:val="1039"/>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Société de gestion </w:t>
            </w:r>
          </w:p>
        </w:tc>
        <w:tc>
          <w:tcPr>
            <w:tcW w:w="4606" w:type="dxa"/>
            <w:shd w:val="clear" w:color="auto" w:fill="FFFFFF" w:themeFill="background1"/>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SGO MALI FINANCES</w:t>
            </w:r>
          </w:p>
        </w:tc>
      </w:tr>
      <w:tr w:rsidR="0022541E" w:rsidRPr="0022541E" w:rsidTr="00DA15CF">
        <w:trPr>
          <w:trHeight w:val="983"/>
        </w:trPr>
        <w:tc>
          <w:tcPr>
            <w:tcW w:w="4606" w:type="dxa"/>
            <w:shd w:val="clear" w:color="auto" w:fill="8DB3E2" w:themeFill="text2" w:themeFillTint="66"/>
          </w:tcPr>
          <w:p w:rsidR="0022541E" w:rsidRDefault="0022541E" w:rsidP="0022541E">
            <w:pPr>
              <w:pStyle w:val="Default"/>
              <w:spacing w:line="360" w:lineRule="auto"/>
              <w:rPr>
                <w:b/>
                <w:bCs/>
              </w:rPr>
            </w:pPr>
          </w:p>
          <w:p w:rsidR="0022541E" w:rsidRPr="0022541E" w:rsidRDefault="0022541E" w:rsidP="0022541E">
            <w:pPr>
              <w:pStyle w:val="Default"/>
              <w:spacing w:line="360" w:lineRule="auto"/>
            </w:pPr>
            <w:r w:rsidRPr="0022541E">
              <w:rPr>
                <w:b/>
                <w:bCs/>
              </w:rPr>
              <w:t xml:space="preserve">Dépositaire </w:t>
            </w:r>
          </w:p>
        </w:tc>
        <w:tc>
          <w:tcPr>
            <w:tcW w:w="4606" w:type="dxa"/>
            <w:shd w:val="clear" w:color="auto" w:fill="8DB3E2" w:themeFill="text2" w:themeFillTint="66"/>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SGI MALI SA</w:t>
            </w:r>
          </w:p>
        </w:tc>
      </w:tr>
      <w:tr w:rsidR="0022541E" w:rsidRPr="0022541E" w:rsidTr="00CC5568">
        <w:tc>
          <w:tcPr>
            <w:tcW w:w="4606" w:type="dxa"/>
            <w:shd w:val="clear" w:color="auto" w:fill="FFFFFF" w:themeFill="background1"/>
          </w:tcPr>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rPr>
                <w:b/>
                <w:bCs/>
              </w:rPr>
            </w:pPr>
            <w:r w:rsidRPr="0022541E">
              <w:rPr>
                <w:b/>
                <w:bCs/>
              </w:rPr>
              <w:t xml:space="preserve">Commissaire aux comptes : </w:t>
            </w:r>
          </w:p>
        </w:tc>
        <w:tc>
          <w:tcPr>
            <w:tcW w:w="4606" w:type="dxa"/>
            <w:shd w:val="clear" w:color="auto" w:fill="FFFFFF" w:themeFill="background1"/>
          </w:tcPr>
          <w:p w:rsidR="0022541E" w:rsidRPr="0022541E" w:rsidRDefault="0022541E" w:rsidP="007F4500">
            <w:pPr>
              <w:pStyle w:val="Default"/>
              <w:spacing w:line="360" w:lineRule="auto"/>
            </w:pPr>
            <w:r w:rsidRPr="0022541E">
              <w:rPr>
                <w:bCs/>
              </w:rPr>
              <w:t>Cabinet SARECI : Société d’Assistance de Révision d’Expertise Comptable et d’Informatique</w:t>
            </w:r>
            <w:r w:rsidRPr="0022541E">
              <w:rPr>
                <w:b/>
                <w:bCs/>
              </w:rPr>
              <w:t>.</w:t>
            </w:r>
          </w:p>
        </w:tc>
      </w:tr>
      <w:tr w:rsidR="0022541E" w:rsidRPr="0022541E" w:rsidTr="00DA15CF">
        <w:trPr>
          <w:trHeight w:val="1000"/>
        </w:trPr>
        <w:tc>
          <w:tcPr>
            <w:tcW w:w="4606" w:type="dxa"/>
            <w:shd w:val="clear" w:color="auto" w:fill="8DB3E2" w:themeFill="text2" w:themeFillTint="66"/>
          </w:tcPr>
          <w:p w:rsidR="0022541E" w:rsidRDefault="0022541E" w:rsidP="0022541E">
            <w:pPr>
              <w:pStyle w:val="Default"/>
              <w:spacing w:line="360" w:lineRule="auto"/>
              <w:outlineLvl w:val="0"/>
              <w:rPr>
                <w:b/>
                <w:bCs/>
              </w:rPr>
            </w:pPr>
            <w:r w:rsidRPr="0022541E">
              <w:rPr>
                <w:b/>
                <w:bCs/>
              </w:rPr>
              <w:t xml:space="preserve"> </w:t>
            </w:r>
          </w:p>
          <w:p w:rsidR="0022541E" w:rsidRPr="0022541E" w:rsidRDefault="0022541E" w:rsidP="0022541E">
            <w:pPr>
              <w:pStyle w:val="Default"/>
              <w:spacing w:line="360" w:lineRule="auto"/>
              <w:outlineLvl w:val="0"/>
            </w:pPr>
            <w:r w:rsidRPr="0022541E">
              <w:rPr>
                <w:b/>
                <w:bCs/>
              </w:rPr>
              <w:t xml:space="preserve">Classification </w:t>
            </w:r>
          </w:p>
        </w:tc>
        <w:tc>
          <w:tcPr>
            <w:tcW w:w="4606" w:type="dxa"/>
            <w:shd w:val="clear" w:color="auto" w:fill="8DB3E2" w:themeFill="text2" w:themeFillTint="66"/>
          </w:tcPr>
          <w:p w:rsidR="0022541E" w:rsidRDefault="0022541E" w:rsidP="007F4500">
            <w:pPr>
              <w:pStyle w:val="Default"/>
              <w:spacing w:line="360" w:lineRule="auto"/>
            </w:pPr>
          </w:p>
          <w:p w:rsidR="0022541E" w:rsidRPr="0022541E" w:rsidRDefault="0022541E" w:rsidP="007F4500">
            <w:pPr>
              <w:pStyle w:val="Default"/>
              <w:spacing w:line="360" w:lineRule="auto"/>
            </w:pPr>
            <w:r w:rsidRPr="0022541E">
              <w:t>Diversifié.</w:t>
            </w:r>
          </w:p>
        </w:tc>
      </w:tr>
      <w:tr w:rsidR="0022541E" w:rsidRPr="0022541E" w:rsidTr="00CC5568">
        <w:trPr>
          <w:trHeight w:val="987"/>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Affectation des résultats </w:t>
            </w:r>
            <w:r w:rsidRPr="0022541E">
              <w:t xml:space="preserve">: </w:t>
            </w:r>
          </w:p>
        </w:tc>
        <w:tc>
          <w:tcPr>
            <w:tcW w:w="4606" w:type="dxa"/>
            <w:shd w:val="clear" w:color="auto" w:fill="FFFFFF" w:themeFill="background1"/>
          </w:tcPr>
          <w:p w:rsidR="0022541E" w:rsidRPr="0022541E" w:rsidRDefault="0022541E" w:rsidP="007F4500">
            <w:pPr>
              <w:pStyle w:val="Default"/>
              <w:spacing w:line="360" w:lineRule="auto"/>
            </w:pPr>
            <w:r w:rsidRPr="0022541E">
              <w:t>les résultats sont capitalisés annuellement.</w:t>
            </w:r>
          </w:p>
        </w:tc>
      </w:tr>
      <w:tr w:rsidR="0022541E" w:rsidRPr="0022541E" w:rsidTr="00DA15CF">
        <w:tc>
          <w:tcPr>
            <w:tcW w:w="4606" w:type="dxa"/>
            <w:shd w:val="clear" w:color="auto" w:fill="8DB3E2" w:themeFill="text2" w:themeFillTint="66"/>
          </w:tcPr>
          <w:p w:rsidR="0022541E" w:rsidRDefault="0022541E" w:rsidP="007F4500">
            <w:pPr>
              <w:pStyle w:val="Default"/>
              <w:spacing w:line="360" w:lineRule="auto"/>
              <w:outlineLvl w:val="0"/>
              <w:rPr>
                <w:b/>
                <w:bCs/>
              </w:rPr>
            </w:pPr>
          </w:p>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pPr>
            <w:r w:rsidRPr="0022541E">
              <w:rPr>
                <w:b/>
                <w:bCs/>
              </w:rPr>
              <w:t xml:space="preserve">Objectif de gestion </w:t>
            </w:r>
            <w:r w:rsidRPr="0022541E">
              <w:t xml:space="preserve">: </w:t>
            </w:r>
          </w:p>
        </w:tc>
        <w:tc>
          <w:tcPr>
            <w:tcW w:w="4606" w:type="dxa"/>
            <w:shd w:val="clear" w:color="auto" w:fill="8DB3E2" w:themeFill="text2" w:themeFillTint="66"/>
          </w:tcPr>
          <w:p w:rsidR="00CC5568" w:rsidRPr="00CC5568" w:rsidRDefault="00124BA1" w:rsidP="00CC5568">
            <w:pPr>
              <w:spacing w:before="120" w:after="120" w:line="264" w:lineRule="auto"/>
              <w:jc w:val="both"/>
              <w:rPr>
                <w:rFonts w:ascii="Times New Roman" w:eastAsia="Calibri" w:hAnsi="Times New Roman" w:cs="Times New Roman"/>
                <w:sz w:val="24"/>
                <w:szCs w:val="26"/>
              </w:rPr>
            </w:pPr>
            <w:r>
              <w:rPr>
                <w:rFonts w:ascii="Times New Roman" w:hAnsi="Times New Roman" w:cs="Times New Roman"/>
                <w:sz w:val="20"/>
              </w:rPr>
              <w:t>Le FCP</w:t>
            </w:r>
            <w:r w:rsidR="0022541E" w:rsidRPr="00CC5568">
              <w:rPr>
                <w:rFonts w:ascii="Times New Roman" w:hAnsi="Times New Roman" w:cs="Times New Roman"/>
                <w:sz w:val="20"/>
              </w:rPr>
              <w:t xml:space="preserve"> a pour </w:t>
            </w:r>
            <w:r>
              <w:rPr>
                <w:rFonts w:ascii="Times New Roman" w:eastAsia="Calibri" w:hAnsi="Times New Roman" w:cs="Times New Roman"/>
                <w:sz w:val="24"/>
                <w:szCs w:val="26"/>
              </w:rPr>
              <w:t>objectif</w:t>
            </w:r>
            <w:r w:rsidR="00CC5568" w:rsidRPr="00CC5568">
              <w:rPr>
                <w:rFonts w:ascii="Times New Roman" w:eastAsia="Calibri" w:hAnsi="Times New Roman" w:cs="Times New Roman"/>
                <w:sz w:val="24"/>
                <w:szCs w:val="26"/>
              </w:rPr>
              <w:t xml:space="preserve"> d'élargir la gamme de produits d'investissement offerts au grand public et aux </w:t>
            </w:r>
            <w:r w:rsidR="00CC5568" w:rsidRPr="00CC5568">
              <w:rPr>
                <w:rFonts w:ascii="Times New Roman" w:hAnsi="Times New Roman" w:cs="Times New Roman"/>
                <w:sz w:val="24"/>
                <w:szCs w:val="26"/>
              </w:rPr>
              <w:t>institutionnels</w:t>
            </w:r>
            <w:r w:rsidR="00CC5568" w:rsidRPr="00CC5568">
              <w:rPr>
                <w:rFonts w:ascii="Times New Roman" w:eastAsia="Calibri" w:hAnsi="Times New Roman" w:cs="Times New Roman"/>
                <w:sz w:val="24"/>
                <w:szCs w:val="26"/>
              </w:rPr>
              <w:t>, principalement afin de leur permettre de profiter des opportunités présentées par la Bourse Régionale des Valeurs Mobilières (BRVM)  tout en offrant une meilleure liquidité.</w:t>
            </w:r>
          </w:p>
          <w:p w:rsidR="0022541E" w:rsidRPr="0022541E" w:rsidRDefault="0022541E" w:rsidP="007F4500">
            <w:pPr>
              <w:pStyle w:val="Default"/>
              <w:spacing w:line="360" w:lineRule="auto"/>
            </w:pPr>
          </w:p>
        </w:tc>
      </w:tr>
    </w:tbl>
    <w:p w:rsidR="00ED797C" w:rsidRDefault="004A7B87" w:rsidP="004A7B87">
      <w:pPr>
        <w:pStyle w:val="Default"/>
        <w:spacing w:line="360" w:lineRule="auto"/>
        <w:rPr>
          <w:rFonts w:ascii="Times New Roman" w:hAnsi="Times New Roman" w:cs="Times New Roman"/>
          <w:szCs w:val="22"/>
        </w:rPr>
      </w:pPr>
      <w:r w:rsidRPr="00024AA5">
        <w:rPr>
          <w:rFonts w:ascii="Times New Roman" w:hAnsi="Times New Roman" w:cs="Times New Roman"/>
          <w:szCs w:val="22"/>
        </w:rPr>
        <w:t xml:space="preserve"> </w:t>
      </w:r>
    </w:p>
    <w:p w:rsidR="00C42E34" w:rsidRDefault="00C42E34" w:rsidP="004A7B87">
      <w:pPr>
        <w:pStyle w:val="Default"/>
        <w:spacing w:line="360" w:lineRule="auto"/>
        <w:rPr>
          <w:b/>
          <w:szCs w:val="22"/>
        </w:rPr>
        <w:sectPr w:rsidR="00C42E34" w:rsidSect="00473850">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pPr>
    </w:p>
    <w:p w:rsidR="004A7B87" w:rsidRDefault="004A7B87" w:rsidP="00C42E34">
      <w:pPr>
        <w:pStyle w:val="Default"/>
        <w:spacing w:line="360" w:lineRule="auto"/>
        <w:rPr>
          <w:b/>
          <w:sz w:val="22"/>
          <w:szCs w:val="22"/>
        </w:rPr>
      </w:pPr>
      <w:r w:rsidRPr="00C42E34">
        <w:rPr>
          <w:b/>
          <w:sz w:val="22"/>
          <w:szCs w:val="22"/>
        </w:rPr>
        <w:lastRenderedPageBreak/>
        <w:t>Stratégie d’investissement</w:t>
      </w:r>
    </w:p>
    <w:p w:rsidR="00CC5568" w:rsidRDefault="00CC5568" w:rsidP="00C42E34">
      <w:pPr>
        <w:pStyle w:val="Default"/>
        <w:spacing w:line="360" w:lineRule="auto"/>
        <w:rPr>
          <w:b/>
          <w:sz w:val="22"/>
          <w:szCs w:val="22"/>
        </w:rPr>
      </w:pPr>
    </w:p>
    <w:p w:rsidR="00CC5568" w:rsidRPr="00C42E34" w:rsidRDefault="00CC5568" w:rsidP="00C42E34">
      <w:pPr>
        <w:pStyle w:val="Default"/>
        <w:spacing w:line="360" w:lineRule="auto"/>
        <w:rPr>
          <w:b/>
          <w:sz w:val="22"/>
          <w:szCs w:val="22"/>
        </w:rPr>
      </w:pPr>
    </w:p>
    <w:p w:rsidR="004A7B87" w:rsidRPr="00CC5568" w:rsidRDefault="00CC5568" w:rsidP="00CC5568">
      <w:pPr>
        <w:spacing w:line="360" w:lineRule="auto"/>
        <w:jc w:val="both"/>
        <w:rPr>
          <w:rFonts w:ascii="Arial" w:hAnsi="Arial" w:cs="Arial"/>
          <w:sz w:val="18"/>
        </w:rPr>
      </w:pPr>
      <w:r w:rsidRPr="00CC5568">
        <w:rPr>
          <w:rFonts w:ascii="Arial" w:eastAsia="Calibri" w:hAnsi="Arial" w:cs="Arial"/>
          <w:szCs w:val="26"/>
        </w:rPr>
        <w:t>Le portefeuille du Fonds sera composé conformément aux dispositions réglementaires du CREPMF. En effet, les actifs du Fonds Commun de Placement seront essentiellement constitués d’espèces, de titres de créances négociables et de valeurs mobilières émis dans les pays de l’UEMOA ou tout marché réglementé autorisé par le CREPMF. Les placements envisagés dans un autre cadre seront préalablement autorisés par le CREPMF et ne pourront excéder 15% de l’Actif du fonds.</w:t>
      </w:r>
    </w:p>
    <w:p w:rsidR="00CC5568" w:rsidRPr="00CC5568" w:rsidRDefault="00CC5568" w:rsidP="00CC5568">
      <w:pPr>
        <w:spacing w:before="120" w:after="120" w:line="360" w:lineRule="auto"/>
        <w:jc w:val="both"/>
        <w:rPr>
          <w:rFonts w:ascii="Arial" w:eastAsia="Calibri" w:hAnsi="Arial" w:cs="Arial"/>
          <w:szCs w:val="26"/>
        </w:rPr>
      </w:pPr>
      <w:r w:rsidRPr="00CC5568">
        <w:rPr>
          <w:rFonts w:ascii="Arial" w:eastAsia="Calibri" w:hAnsi="Arial" w:cs="Arial"/>
          <w:szCs w:val="26"/>
        </w:rPr>
        <w:t>Ainsi, l’actif du fonds ne peut à aucun moment  être investi à hauteur de plus de 70 % en actions et/ou assimilés, ni être investi à hauteur de plus de 70 % en obligations à court terme ou à moyen et long terme, en titres de créances émis sur le marché monétaire, en titres d’autres OPCVM ou de FCTC.</w:t>
      </w:r>
    </w:p>
    <w:p w:rsidR="00C42E34" w:rsidRDefault="00C42E34"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42E34" w:rsidRPr="00C42E34" w:rsidRDefault="00C42E34" w:rsidP="004A7B87">
      <w:pPr>
        <w:spacing w:line="360" w:lineRule="auto"/>
        <w:rPr>
          <w:sz w:val="20"/>
        </w:rPr>
      </w:pPr>
    </w:p>
    <w:p w:rsidR="004A7B87" w:rsidRDefault="004A7B87" w:rsidP="004A7B87">
      <w:pPr>
        <w:spacing w:line="360" w:lineRule="auto"/>
        <w:outlineLvl w:val="0"/>
        <w:rPr>
          <w:rFonts w:ascii="Arial" w:hAnsi="Arial" w:cs="Arial"/>
          <w:b/>
          <w:szCs w:val="28"/>
        </w:rPr>
      </w:pPr>
      <w:r w:rsidRPr="00C42E34">
        <w:rPr>
          <w:rFonts w:ascii="Arial" w:hAnsi="Arial" w:cs="Arial"/>
          <w:b/>
          <w:szCs w:val="28"/>
        </w:rPr>
        <w:lastRenderedPageBreak/>
        <w:t>Profil de risque</w:t>
      </w:r>
    </w:p>
    <w:p w:rsidR="00DA15CF" w:rsidRPr="00C42E34" w:rsidRDefault="00DA15CF" w:rsidP="004A7B87">
      <w:pPr>
        <w:spacing w:line="360" w:lineRule="auto"/>
        <w:outlineLvl w:val="0"/>
        <w:rPr>
          <w:rFonts w:ascii="Arial" w:hAnsi="Arial" w:cs="Arial"/>
          <w:b/>
          <w:szCs w:val="28"/>
        </w:rPr>
      </w:pPr>
    </w:p>
    <w:p w:rsidR="004A7B87" w:rsidRPr="00C42E34" w:rsidRDefault="004A7B87" w:rsidP="00DA15CF">
      <w:pPr>
        <w:spacing w:line="360" w:lineRule="auto"/>
        <w:rPr>
          <w:rFonts w:ascii="Arial" w:hAnsi="Arial" w:cs="Arial"/>
          <w:szCs w:val="24"/>
        </w:rPr>
      </w:pPr>
      <w:r w:rsidRPr="00C42E34">
        <w:rPr>
          <w:rFonts w:ascii="Arial" w:hAnsi="Arial" w:cs="Arial"/>
          <w:szCs w:val="24"/>
        </w:rPr>
        <w:t>Votre argent sera principalement investi dans des instruments financiers sélectionnés par la société de gestion. Ces instruments connaîtront les évolutions et aléas des marchés. Il ne bénéficie d’aucune garantie en capital ou en performance. Le principal risque auquel s’expose le souscripteur au titre de son investissement est :</w:t>
      </w:r>
    </w:p>
    <w:p w:rsidR="004A7B87" w:rsidRPr="00C42E34" w:rsidRDefault="004A7B87" w:rsidP="00DA15CF">
      <w:pPr>
        <w:spacing w:line="360" w:lineRule="auto"/>
        <w:rPr>
          <w:rFonts w:ascii="Arial" w:hAnsi="Arial" w:cs="Arial"/>
          <w:szCs w:val="24"/>
        </w:rPr>
      </w:pPr>
      <w:r w:rsidRPr="00C42E34">
        <w:rPr>
          <w:rFonts w:ascii="Arial" w:hAnsi="Arial" w:cs="Arial"/>
          <w:szCs w:val="24"/>
        </w:rPr>
        <w:t>Le risque de perte en capital : l’OPCVM ne bénéficie d’aucune garantie, ni protection. Il se peut donc que le capital investi ne soit pas intégralement recouvré lors du  rachat.</w:t>
      </w:r>
    </w:p>
    <w:p w:rsidR="004A7B87" w:rsidRPr="00C42E34" w:rsidRDefault="004A7B87" w:rsidP="004A7B87">
      <w:pPr>
        <w:spacing w:line="360" w:lineRule="auto"/>
        <w:outlineLvl w:val="0"/>
        <w:rPr>
          <w:rFonts w:ascii="Arial" w:hAnsi="Arial" w:cs="Arial"/>
          <w:b/>
          <w:szCs w:val="24"/>
        </w:rPr>
      </w:pPr>
      <w:r w:rsidRPr="00C42E34">
        <w:rPr>
          <w:rFonts w:ascii="Arial" w:hAnsi="Arial" w:cs="Arial"/>
          <w:b/>
          <w:szCs w:val="24"/>
        </w:rPr>
        <w:t>CHANGEMENTS INTERESSANT LE FCPE INTERVENUS AU COURS DE L’EXERCICE</w:t>
      </w:r>
    </w:p>
    <w:p w:rsidR="004A7B87" w:rsidRPr="00C42E34" w:rsidRDefault="004A7B87" w:rsidP="004A7B87">
      <w:pPr>
        <w:spacing w:line="360" w:lineRule="auto"/>
        <w:outlineLvl w:val="0"/>
        <w:rPr>
          <w:rFonts w:ascii="Arial" w:hAnsi="Arial" w:cs="Arial"/>
          <w:szCs w:val="24"/>
        </w:rPr>
      </w:pPr>
      <w:r w:rsidRPr="00C42E34">
        <w:rPr>
          <w:rFonts w:ascii="Arial" w:hAnsi="Arial" w:cs="Arial"/>
          <w:szCs w:val="24"/>
        </w:rPr>
        <w:t>Néant</w:t>
      </w:r>
    </w:p>
    <w:p w:rsidR="004A7B87" w:rsidRPr="00C42E34" w:rsidRDefault="00D3692B" w:rsidP="004A7B87">
      <w:pPr>
        <w:spacing w:line="360" w:lineRule="auto"/>
        <w:outlineLvl w:val="0"/>
        <w:rPr>
          <w:rFonts w:ascii="Arial" w:hAnsi="Arial" w:cs="Arial"/>
          <w:b/>
          <w:szCs w:val="24"/>
        </w:rPr>
      </w:pPr>
      <w:r w:rsidRPr="00C42E34">
        <w:rPr>
          <w:rFonts w:ascii="Arial" w:hAnsi="Arial" w:cs="Arial"/>
          <w:b/>
          <w:szCs w:val="24"/>
        </w:rPr>
        <w:t>CHANGEMENT A VENIR I</w:t>
      </w:r>
      <w:r w:rsidR="004A7B87" w:rsidRPr="00C42E34">
        <w:rPr>
          <w:rFonts w:ascii="Arial" w:hAnsi="Arial" w:cs="Arial"/>
          <w:b/>
          <w:szCs w:val="24"/>
        </w:rPr>
        <w:t>NTERSSANT LE FCPE</w:t>
      </w:r>
    </w:p>
    <w:p w:rsidR="004A7B87" w:rsidRDefault="004A7B87" w:rsidP="004A7B87">
      <w:pPr>
        <w:spacing w:line="360" w:lineRule="auto"/>
        <w:outlineLvl w:val="0"/>
        <w:rPr>
          <w:rFonts w:ascii="Arial" w:hAnsi="Arial" w:cs="Arial"/>
          <w:szCs w:val="24"/>
        </w:rPr>
      </w:pPr>
      <w:r w:rsidRPr="00C42E34">
        <w:rPr>
          <w:rFonts w:ascii="Arial" w:hAnsi="Arial" w:cs="Arial"/>
          <w:szCs w:val="24"/>
        </w:rPr>
        <w:t xml:space="preserve">Néant </w:t>
      </w: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C5568" w:rsidRPr="00C42E34" w:rsidRDefault="00CC5568" w:rsidP="004A7B87">
      <w:pPr>
        <w:spacing w:line="360" w:lineRule="auto"/>
        <w:outlineLvl w:val="0"/>
        <w:rPr>
          <w:rFonts w:ascii="Arial" w:hAnsi="Arial" w:cs="Arial"/>
          <w:szCs w:val="24"/>
        </w:rPr>
      </w:pPr>
    </w:p>
    <w:p w:rsidR="004A7B87" w:rsidRDefault="004A7B87" w:rsidP="00DA15CF">
      <w:pPr>
        <w:shd w:val="clear" w:color="auto" w:fill="8DB3E2" w:themeFill="text2" w:themeFillTint="66"/>
        <w:spacing w:line="360" w:lineRule="auto"/>
        <w:outlineLvl w:val="0"/>
        <w:rPr>
          <w:rFonts w:ascii="Arial" w:hAnsi="Arial" w:cs="Arial"/>
          <w:b/>
          <w:sz w:val="24"/>
          <w:szCs w:val="24"/>
        </w:rPr>
      </w:pPr>
      <w:r w:rsidRPr="00E61E69">
        <w:rPr>
          <w:rFonts w:ascii="Arial" w:hAnsi="Arial" w:cs="Arial"/>
          <w:b/>
          <w:sz w:val="24"/>
          <w:szCs w:val="24"/>
        </w:rPr>
        <w:lastRenderedPageBreak/>
        <w:t>EVOLUTION DE LA VALEUR LIQUIDATIVE</w:t>
      </w:r>
    </w:p>
    <w:p w:rsidR="00AC3B00" w:rsidRDefault="008A3176" w:rsidP="00B46597">
      <w:pPr>
        <w:spacing w:line="360" w:lineRule="auto"/>
        <w:outlineLvl w:val="0"/>
        <w:rPr>
          <w:rFonts w:ascii="Arial" w:hAnsi="Arial" w:cs="Arial"/>
          <w:b/>
          <w:sz w:val="24"/>
          <w:szCs w:val="24"/>
        </w:rPr>
      </w:pPr>
      <w:r>
        <w:rPr>
          <w:noProof/>
          <w:lang w:eastAsia="fr-FR"/>
        </w:rPr>
        <w:drawing>
          <wp:inline distT="0" distB="0" distL="0" distR="0" wp14:anchorId="3E2B8B36" wp14:editId="33611B87">
            <wp:extent cx="2905125" cy="186690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3B00" w:rsidRPr="00B46597" w:rsidRDefault="00AC3B00" w:rsidP="00B46597">
      <w:pPr>
        <w:spacing w:line="360" w:lineRule="auto"/>
        <w:outlineLvl w:val="0"/>
        <w:rPr>
          <w:rFonts w:ascii="Arial" w:hAnsi="Arial" w:cs="Arial"/>
          <w:b/>
          <w:sz w:val="24"/>
          <w:szCs w:val="24"/>
        </w:rPr>
      </w:pPr>
    </w:p>
    <w:p w:rsidR="008557F0" w:rsidRPr="00AC3B00" w:rsidRDefault="004A7B87" w:rsidP="00AC3B00">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t>EVOLUTION DU PORTEFEUILLE</w:t>
      </w:r>
    </w:p>
    <w:p w:rsidR="00C42E34" w:rsidRDefault="00C42E34" w:rsidP="00B46597">
      <w:pPr>
        <w:spacing w:line="360" w:lineRule="auto"/>
        <w:rPr>
          <w:sz w:val="28"/>
          <w:szCs w:val="28"/>
        </w:rPr>
      </w:pPr>
    </w:p>
    <w:p w:rsidR="007737BC" w:rsidRDefault="007737BC" w:rsidP="00B46597">
      <w:pPr>
        <w:spacing w:line="360" w:lineRule="auto"/>
        <w:rPr>
          <w:sz w:val="28"/>
          <w:szCs w:val="28"/>
        </w:rPr>
      </w:pPr>
    </w:p>
    <w:p w:rsidR="007737BC" w:rsidRDefault="00096908" w:rsidP="00B46597">
      <w:pPr>
        <w:spacing w:line="360" w:lineRule="auto"/>
        <w:rPr>
          <w:sz w:val="28"/>
          <w:szCs w:val="28"/>
        </w:rPr>
      </w:pPr>
      <w:bookmarkStart w:id="0" w:name="_GoBack"/>
      <w:r>
        <w:rPr>
          <w:noProof/>
          <w:lang w:eastAsia="fr-FR"/>
        </w:rPr>
        <w:drawing>
          <wp:inline distT="0" distB="0" distL="0" distR="0" wp14:anchorId="5773ABD4" wp14:editId="1A1D7648">
            <wp:extent cx="2905125" cy="336232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7737BC" w:rsidRDefault="007737BC" w:rsidP="00B46597">
      <w:pPr>
        <w:spacing w:line="360" w:lineRule="auto"/>
        <w:rPr>
          <w:sz w:val="28"/>
          <w:szCs w:val="28"/>
        </w:rPr>
      </w:pPr>
    </w:p>
    <w:p w:rsidR="003750BE" w:rsidRPr="00B46597" w:rsidRDefault="003750BE" w:rsidP="00B46597">
      <w:pPr>
        <w:spacing w:line="360" w:lineRule="auto"/>
        <w:rPr>
          <w:sz w:val="28"/>
          <w:szCs w:val="28"/>
        </w:rPr>
      </w:pPr>
    </w:p>
    <w:p w:rsidR="00C42E34" w:rsidRPr="008774A0" w:rsidRDefault="004A7B87" w:rsidP="00DA15CF">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lastRenderedPageBreak/>
        <w:t>Composition portefeuille</w:t>
      </w:r>
    </w:p>
    <w:p w:rsidR="00C42E34" w:rsidRDefault="003B02AB" w:rsidP="004A7B87">
      <w:pPr>
        <w:spacing w:line="360" w:lineRule="auto"/>
        <w:rPr>
          <w:sz w:val="28"/>
          <w:szCs w:val="28"/>
        </w:rPr>
      </w:pPr>
      <w:r>
        <w:rPr>
          <w:noProof/>
          <w:lang w:eastAsia="fr-FR"/>
        </w:rPr>
        <w:drawing>
          <wp:inline distT="0" distB="0" distL="0" distR="0" wp14:anchorId="643B43A8" wp14:editId="77D4435E">
            <wp:extent cx="2654935" cy="2204085"/>
            <wp:effectExtent l="0" t="0" r="12065" b="571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B87" w:rsidRPr="00E61E69" w:rsidRDefault="004A7B87" w:rsidP="00DA15CF">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t>COMMENTAIRE DE GESTION</w:t>
      </w:r>
    </w:p>
    <w:p w:rsidR="007737BC" w:rsidRDefault="00124BA1" w:rsidP="007737BC">
      <w:pPr>
        <w:spacing w:line="360" w:lineRule="auto"/>
        <w:rPr>
          <w:rFonts w:ascii="Arial" w:hAnsi="Arial" w:cs="Arial"/>
          <w:sz w:val="24"/>
          <w:szCs w:val="28"/>
        </w:rPr>
      </w:pPr>
      <w:r>
        <w:rPr>
          <w:rFonts w:ascii="Arial" w:hAnsi="Arial" w:cs="Arial"/>
          <w:sz w:val="24"/>
          <w:szCs w:val="28"/>
        </w:rPr>
        <w:t>Le FCP</w:t>
      </w:r>
      <w:r w:rsidR="007737BC">
        <w:rPr>
          <w:rFonts w:ascii="Arial" w:hAnsi="Arial" w:cs="Arial"/>
          <w:sz w:val="24"/>
          <w:szCs w:val="28"/>
        </w:rPr>
        <w:t xml:space="preserve"> NYESIGUI</w:t>
      </w:r>
      <w:r w:rsidR="004A7B87" w:rsidRPr="00ED797C">
        <w:rPr>
          <w:rFonts w:ascii="Arial" w:hAnsi="Arial" w:cs="Arial"/>
          <w:sz w:val="24"/>
          <w:szCs w:val="28"/>
        </w:rPr>
        <w:t xml:space="preserve"> </w:t>
      </w:r>
      <w:r w:rsidR="001662A7">
        <w:rPr>
          <w:rFonts w:ascii="Arial" w:hAnsi="Arial" w:cs="Arial"/>
          <w:sz w:val="24"/>
          <w:szCs w:val="28"/>
        </w:rPr>
        <w:t>affiche</w:t>
      </w:r>
      <w:r w:rsidR="004A7B87" w:rsidRPr="00ED797C">
        <w:rPr>
          <w:rFonts w:ascii="Arial" w:hAnsi="Arial" w:cs="Arial"/>
          <w:sz w:val="24"/>
          <w:szCs w:val="28"/>
        </w:rPr>
        <w:t xml:space="preserve"> une </w:t>
      </w:r>
      <w:r w:rsidR="005772DE">
        <w:rPr>
          <w:rFonts w:ascii="Arial" w:hAnsi="Arial" w:cs="Arial"/>
          <w:sz w:val="24"/>
          <w:szCs w:val="28"/>
        </w:rPr>
        <w:t xml:space="preserve">Valeur Liquidative de </w:t>
      </w:r>
      <w:r w:rsidR="00F805A6">
        <w:rPr>
          <w:rFonts w:ascii="Arial" w:hAnsi="Arial" w:cs="Arial"/>
          <w:b/>
          <w:sz w:val="24"/>
        </w:rPr>
        <w:t>9</w:t>
      </w:r>
      <w:r w:rsidR="00233725">
        <w:rPr>
          <w:rFonts w:ascii="Arial" w:hAnsi="Arial" w:cs="Arial"/>
          <w:b/>
          <w:sz w:val="24"/>
        </w:rPr>
        <w:t> 119,9744</w:t>
      </w:r>
      <w:r w:rsidR="005772DE">
        <w:rPr>
          <w:rFonts w:ascii="Arial" w:hAnsi="Arial" w:cs="Arial"/>
          <w:sz w:val="24"/>
          <w:szCs w:val="28"/>
        </w:rPr>
        <w:t xml:space="preserve"> </w:t>
      </w:r>
      <w:r w:rsidR="005772DE" w:rsidRPr="001662A7">
        <w:rPr>
          <w:rFonts w:ascii="Arial" w:hAnsi="Arial" w:cs="Arial"/>
          <w:b/>
          <w:sz w:val="24"/>
          <w:szCs w:val="28"/>
        </w:rPr>
        <w:t>FCFA</w:t>
      </w:r>
      <w:r w:rsidR="001662A7">
        <w:rPr>
          <w:rFonts w:ascii="Arial" w:hAnsi="Arial" w:cs="Arial"/>
          <w:b/>
          <w:sz w:val="24"/>
          <w:szCs w:val="28"/>
        </w:rPr>
        <w:t xml:space="preserve"> </w:t>
      </w:r>
      <w:r w:rsidR="00B46BDD" w:rsidRPr="00B46BDD">
        <w:rPr>
          <w:rFonts w:ascii="Arial" w:hAnsi="Arial" w:cs="Arial"/>
          <w:sz w:val="24"/>
          <w:szCs w:val="28"/>
        </w:rPr>
        <w:t xml:space="preserve">au </w:t>
      </w:r>
      <w:r w:rsidR="005044D9">
        <w:rPr>
          <w:rFonts w:ascii="Arial" w:hAnsi="Arial" w:cs="Arial"/>
          <w:sz w:val="24"/>
          <w:szCs w:val="28"/>
        </w:rPr>
        <w:t>3</w:t>
      </w:r>
      <w:r w:rsidR="003750BE">
        <w:rPr>
          <w:rFonts w:ascii="Arial" w:hAnsi="Arial" w:cs="Arial"/>
          <w:sz w:val="24"/>
          <w:szCs w:val="28"/>
        </w:rPr>
        <w:t>1</w:t>
      </w:r>
      <w:r w:rsidR="00AC3B00">
        <w:rPr>
          <w:rFonts w:ascii="Arial" w:hAnsi="Arial" w:cs="Arial"/>
          <w:sz w:val="24"/>
          <w:szCs w:val="28"/>
        </w:rPr>
        <w:t>/</w:t>
      </w:r>
      <w:r w:rsidR="00233725">
        <w:rPr>
          <w:rFonts w:ascii="Arial" w:hAnsi="Arial" w:cs="Arial"/>
          <w:sz w:val="24"/>
          <w:szCs w:val="28"/>
        </w:rPr>
        <w:t>03/2020</w:t>
      </w:r>
      <w:r w:rsidR="00B46BDD">
        <w:rPr>
          <w:rFonts w:ascii="Arial" w:hAnsi="Arial" w:cs="Arial"/>
          <w:b/>
          <w:sz w:val="24"/>
          <w:szCs w:val="28"/>
        </w:rPr>
        <w:t xml:space="preserve"> </w:t>
      </w:r>
      <w:r w:rsidR="00B46BDD" w:rsidRPr="00B46BDD">
        <w:rPr>
          <w:rFonts w:ascii="Arial" w:hAnsi="Arial" w:cs="Arial"/>
          <w:sz w:val="24"/>
          <w:szCs w:val="28"/>
        </w:rPr>
        <w:t>contre une V</w:t>
      </w:r>
      <w:r w:rsidR="00B46BDD">
        <w:rPr>
          <w:rFonts w:ascii="Arial" w:hAnsi="Arial" w:cs="Arial"/>
          <w:sz w:val="24"/>
          <w:szCs w:val="28"/>
        </w:rPr>
        <w:t xml:space="preserve">aleur </w:t>
      </w:r>
      <w:r w:rsidR="00B46BDD" w:rsidRPr="00B46BDD">
        <w:rPr>
          <w:rFonts w:ascii="Arial" w:hAnsi="Arial" w:cs="Arial"/>
          <w:sz w:val="24"/>
          <w:szCs w:val="28"/>
        </w:rPr>
        <w:t>L</w:t>
      </w:r>
      <w:r w:rsidR="00B46BDD">
        <w:rPr>
          <w:rFonts w:ascii="Arial" w:hAnsi="Arial" w:cs="Arial"/>
          <w:sz w:val="24"/>
          <w:szCs w:val="28"/>
        </w:rPr>
        <w:t>iquidative</w:t>
      </w:r>
      <w:r w:rsidR="00B46BDD">
        <w:rPr>
          <w:rFonts w:ascii="Arial" w:hAnsi="Arial" w:cs="Arial"/>
          <w:b/>
          <w:sz w:val="24"/>
          <w:szCs w:val="28"/>
        </w:rPr>
        <w:t xml:space="preserve"> de </w:t>
      </w:r>
      <w:r w:rsidR="00233725">
        <w:rPr>
          <w:rFonts w:ascii="Arial" w:hAnsi="Arial" w:cs="Arial"/>
          <w:b/>
          <w:sz w:val="24"/>
          <w:szCs w:val="28"/>
        </w:rPr>
        <w:t xml:space="preserve">9 </w:t>
      </w:r>
      <w:r w:rsidR="003750BE">
        <w:rPr>
          <w:rFonts w:ascii="Arial" w:hAnsi="Arial" w:cs="Arial"/>
          <w:b/>
          <w:sz w:val="24"/>
          <w:szCs w:val="28"/>
        </w:rPr>
        <w:t>3</w:t>
      </w:r>
      <w:r w:rsidR="00233725">
        <w:rPr>
          <w:rFonts w:ascii="Arial" w:hAnsi="Arial" w:cs="Arial"/>
          <w:b/>
          <w:sz w:val="24"/>
          <w:szCs w:val="28"/>
        </w:rPr>
        <w:t>19,3</w:t>
      </w:r>
      <w:r w:rsidR="003750BE">
        <w:rPr>
          <w:rFonts w:ascii="Arial" w:hAnsi="Arial" w:cs="Arial"/>
          <w:b/>
          <w:sz w:val="24"/>
          <w:szCs w:val="28"/>
        </w:rPr>
        <w:t>08</w:t>
      </w:r>
      <w:r w:rsidR="00233725">
        <w:rPr>
          <w:rFonts w:ascii="Arial" w:hAnsi="Arial" w:cs="Arial"/>
          <w:b/>
          <w:sz w:val="24"/>
          <w:szCs w:val="28"/>
        </w:rPr>
        <w:t>1</w:t>
      </w:r>
      <w:r w:rsidR="00B46BDD">
        <w:rPr>
          <w:rFonts w:ascii="Arial" w:hAnsi="Arial" w:cs="Arial"/>
          <w:b/>
          <w:sz w:val="24"/>
          <w:szCs w:val="28"/>
        </w:rPr>
        <w:t xml:space="preserve"> F CFA </w:t>
      </w:r>
      <w:r w:rsidR="00B46BDD" w:rsidRPr="007D2B86">
        <w:rPr>
          <w:rFonts w:ascii="Arial" w:hAnsi="Arial" w:cs="Arial"/>
          <w:sz w:val="24"/>
          <w:szCs w:val="28"/>
        </w:rPr>
        <w:t xml:space="preserve">au </w:t>
      </w:r>
      <w:r w:rsidR="00233725">
        <w:rPr>
          <w:rFonts w:ascii="Arial" w:hAnsi="Arial" w:cs="Arial"/>
          <w:sz w:val="24"/>
          <w:szCs w:val="28"/>
        </w:rPr>
        <w:t>31</w:t>
      </w:r>
      <w:r w:rsidR="001D700A">
        <w:rPr>
          <w:rFonts w:ascii="Arial" w:hAnsi="Arial" w:cs="Arial"/>
          <w:sz w:val="24"/>
          <w:szCs w:val="28"/>
        </w:rPr>
        <w:t>/</w:t>
      </w:r>
      <w:r w:rsidR="00233725">
        <w:rPr>
          <w:rFonts w:ascii="Arial" w:hAnsi="Arial" w:cs="Arial"/>
          <w:sz w:val="24"/>
          <w:szCs w:val="28"/>
        </w:rPr>
        <w:t>12</w:t>
      </w:r>
      <w:r w:rsidR="00F805A6">
        <w:rPr>
          <w:rFonts w:ascii="Arial" w:hAnsi="Arial" w:cs="Arial"/>
          <w:sz w:val="24"/>
          <w:szCs w:val="28"/>
        </w:rPr>
        <w:t>/2019</w:t>
      </w:r>
      <w:r w:rsidR="001D700A">
        <w:rPr>
          <w:rFonts w:ascii="Arial" w:hAnsi="Arial" w:cs="Arial"/>
          <w:sz w:val="24"/>
          <w:szCs w:val="28"/>
        </w:rPr>
        <w:t xml:space="preserve"> soit une </w:t>
      </w:r>
      <w:r w:rsidR="00233725">
        <w:rPr>
          <w:rFonts w:ascii="Arial" w:hAnsi="Arial" w:cs="Arial"/>
          <w:sz w:val="24"/>
          <w:szCs w:val="28"/>
        </w:rPr>
        <w:t>bai</w:t>
      </w:r>
      <w:r w:rsidR="003750BE">
        <w:rPr>
          <w:rFonts w:ascii="Arial" w:hAnsi="Arial" w:cs="Arial"/>
          <w:sz w:val="24"/>
          <w:szCs w:val="28"/>
        </w:rPr>
        <w:t>sse</w:t>
      </w:r>
      <w:r w:rsidR="001D700A">
        <w:rPr>
          <w:rFonts w:ascii="Arial" w:hAnsi="Arial" w:cs="Arial"/>
          <w:sz w:val="24"/>
          <w:szCs w:val="28"/>
        </w:rPr>
        <w:t xml:space="preserve"> de </w:t>
      </w:r>
      <w:r w:rsidR="00212D7A">
        <w:rPr>
          <w:rFonts w:ascii="Arial" w:hAnsi="Arial" w:cs="Arial"/>
          <w:sz w:val="24"/>
          <w:szCs w:val="28"/>
        </w:rPr>
        <w:t xml:space="preserve">- </w:t>
      </w:r>
      <w:r w:rsidR="004F0416">
        <w:rPr>
          <w:rFonts w:ascii="Arial" w:hAnsi="Arial" w:cs="Arial"/>
          <w:sz w:val="24"/>
          <w:szCs w:val="28"/>
        </w:rPr>
        <w:t>2,</w:t>
      </w:r>
      <w:r w:rsidR="00212D7A">
        <w:rPr>
          <w:rFonts w:ascii="Arial" w:hAnsi="Arial" w:cs="Arial"/>
          <w:sz w:val="24"/>
          <w:szCs w:val="28"/>
        </w:rPr>
        <w:t>14</w:t>
      </w:r>
      <w:r w:rsidR="001D700A">
        <w:rPr>
          <w:rFonts w:ascii="Arial" w:hAnsi="Arial" w:cs="Arial"/>
          <w:sz w:val="24"/>
          <w:szCs w:val="28"/>
        </w:rPr>
        <w:t>%</w:t>
      </w:r>
      <w:r w:rsidR="005772DE">
        <w:rPr>
          <w:rFonts w:ascii="Arial" w:hAnsi="Arial" w:cs="Arial"/>
          <w:sz w:val="24"/>
          <w:szCs w:val="28"/>
        </w:rPr>
        <w:t>.</w:t>
      </w:r>
      <w:r w:rsidR="00755726">
        <w:rPr>
          <w:rFonts w:ascii="Arial" w:hAnsi="Arial" w:cs="Arial"/>
          <w:sz w:val="24"/>
          <w:szCs w:val="28"/>
        </w:rPr>
        <w:t xml:space="preserve"> </w:t>
      </w:r>
      <w:r w:rsidR="007737BC">
        <w:rPr>
          <w:rFonts w:ascii="Arial" w:hAnsi="Arial" w:cs="Arial"/>
          <w:sz w:val="24"/>
          <w:szCs w:val="28"/>
        </w:rPr>
        <w:t xml:space="preserve">Cette </w:t>
      </w:r>
      <w:r w:rsidR="001D700A">
        <w:rPr>
          <w:rFonts w:ascii="Arial" w:hAnsi="Arial" w:cs="Arial"/>
          <w:sz w:val="24"/>
          <w:szCs w:val="28"/>
        </w:rPr>
        <w:t>faible performance</w:t>
      </w:r>
      <w:r w:rsidR="007737BC">
        <w:rPr>
          <w:rFonts w:ascii="Arial" w:hAnsi="Arial" w:cs="Arial"/>
          <w:sz w:val="24"/>
          <w:szCs w:val="28"/>
        </w:rPr>
        <w:t xml:space="preserve"> est principalement due à la conjoncture actuelle du marché qui affiche une tendance baissière à l’instar des marchés internationaux. </w:t>
      </w:r>
      <w:r w:rsidR="00A00FED">
        <w:rPr>
          <w:rFonts w:ascii="Arial" w:hAnsi="Arial" w:cs="Arial"/>
          <w:sz w:val="24"/>
          <w:szCs w:val="28"/>
        </w:rPr>
        <w:t>En effet, n</w:t>
      </w:r>
      <w:r w:rsidR="007737BC">
        <w:rPr>
          <w:rFonts w:ascii="Arial" w:hAnsi="Arial" w:cs="Arial"/>
          <w:sz w:val="24"/>
          <w:szCs w:val="28"/>
        </w:rPr>
        <w:t>ous sommes confrontés à une baisse générale des cours des différents titres qui composent le portefeuille</w:t>
      </w:r>
      <w:r w:rsidR="006B167D">
        <w:rPr>
          <w:rFonts w:ascii="Arial" w:hAnsi="Arial" w:cs="Arial"/>
          <w:sz w:val="24"/>
          <w:szCs w:val="28"/>
        </w:rPr>
        <w:t xml:space="preserve"> malgré la bonne santé financière de la plupart des sociétés cotées de façon globale</w:t>
      </w:r>
      <w:r w:rsidR="007737BC">
        <w:rPr>
          <w:rFonts w:ascii="Arial" w:hAnsi="Arial" w:cs="Arial"/>
          <w:sz w:val="24"/>
          <w:szCs w:val="28"/>
        </w:rPr>
        <w:t xml:space="preserve">. </w:t>
      </w:r>
    </w:p>
    <w:p w:rsidR="007962A2" w:rsidRPr="00B46597" w:rsidRDefault="007737BC" w:rsidP="007737BC">
      <w:pPr>
        <w:spacing w:line="360" w:lineRule="auto"/>
        <w:rPr>
          <w:rFonts w:ascii="Arial" w:hAnsi="Arial" w:cs="Arial"/>
          <w:sz w:val="24"/>
          <w:szCs w:val="28"/>
        </w:rPr>
      </w:pPr>
      <w:r w:rsidRPr="004820F3">
        <w:rPr>
          <w:rFonts w:ascii="Arial" w:hAnsi="Arial" w:cs="Arial"/>
          <w:b/>
          <w:sz w:val="24"/>
          <w:szCs w:val="28"/>
        </w:rPr>
        <w:t>Remarque</w:t>
      </w:r>
      <w:r>
        <w:rPr>
          <w:rFonts w:ascii="Arial" w:hAnsi="Arial" w:cs="Arial"/>
          <w:sz w:val="24"/>
          <w:szCs w:val="28"/>
        </w:rPr>
        <w:t xml:space="preserve"> : </w:t>
      </w:r>
      <w:r w:rsidR="001D700A">
        <w:rPr>
          <w:rFonts w:ascii="Arial" w:hAnsi="Arial" w:cs="Arial"/>
          <w:sz w:val="24"/>
          <w:szCs w:val="28"/>
        </w:rPr>
        <w:t>Le marché financier régional connait une baisse générale des cours depuis Juin 2017. Sur l’exercice 201</w:t>
      </w:r>
      <w:r w:rsidR="003750BE">
        <w:rPr>
          <w:rFonts w:ascii="Arial" w:hAnsi="Arial" w:cs="Arial"/>
          <w:sz w:val="24"/>
          <w:szCs w:val="28"/>
        </w:rPr>
        <w:t>9</w:t>
      </w:r>
      <w:r w:rsidR="001D700A">
        <w:rPr>
          <w:rFonts w:ascii="Arial" w:hAnsi="Arial" w:cs="Arial"/>
          <w:sz w:val="24"/>
          <w:szCs w:val="28"/>
        </w:rPr>
        <w:t xml:space="preserve"> l’indice BRVM </w:t>
      </w:r>
      <w:r w:rsidR="003750BE">
        <w:rPr>
          <w:rFonts w:ascii="Arial" w:hAnsi="Arial" w:cs="Arial"/>
          <w:sz w:val="24"/>
          <w:szCs w:val="28"/>
        </w:rPr>
        <w:t>composite</w:t>
      </w:r>
      <w:r w:rsidR="001D700A">
        <w:rPr>
          <w:rFonts w:ascii="Arial" w:hAnsi="Arial" w:cs="Arial"/>
          <w:sz w:val="24"/>
          <w:szCs w:val="28"/>
        </w:rPr>
        <w:t xml:space="preserve"> a connu une baisse de </w:t>
      </w:r>
      <w:r w:rsidR="003750BE">
        <w:rPr>
          <w:rFonts w:ascii="Arial" w:hAnsi="Arial" w:cs="Arial"/>
          <w:sz w:val="24"/>
          <w:szCs w:val="28"/>
        </w:rPr>
        <w:t>7,55</w:t>
      </w:r>
      <w:r w:rsidR="001D700A">
        <w:rPr>
          <w:rFonts w:ascii="Arial" w:hAnsi="Arial" w:cs="Arial"/>
          <w:sz w:val="24"/>
          <w:szCs w:val="28"/>
        </w:rPr>
        <w:t>%.</w:t>
      </w:r>
      <w:r w:rsidR="001926FF">
        <w:rPr>
          <w:rFonts w:ascii="Arial" w:hAnsi="Arial" w:cs="Arial"/>
          <w:sz w:val="24"/>
          <w:szCs w:val="28"/>
        </w:rPr>
        <w:t xml:space="preserve"> </w:t>
      </w:r>
    </w:p>
    <w:sectPr w:rsidR="007962A2" w:rsidRPr="00B46597" w:rsidSect="00C42E34">
      <w:type w:val="continuous"/>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52" w:rsidRDefault="004D7A52" w:rsidP="00C42E34">
      <w:pPr>
        <w:spacing w:after="0" w:line="240" w:lineRule="auto"/>
      </w:pPr>
      <w:r>
        <w:separator/>
      </w:r>
    </w:p>
  </w:endnote>
  <w:endnote w:type="continuationSeparator" w:id="0">
    <w:p w:rsidR="004D7A52" w:rsidRDefault="004D7A52" w:rsidP="00C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52" w:rsidRDefault="004D7A52" w:rsidP="00C42E34">
      <w:pPr>
        <w:spacing w:after="0" w:line="240" w:lineRule="auto"/>
      </w:pPr>
      <w:r>
        <w:separator/>
      </w:r>
    </w:p>
  </w:footnote>
  <w:footnote w:type="continuationSeparator" w:id="0">
    <w:p w:rsidR="004D7A52" w:rsidRDefault="004D7A52" w:rsidP="00C42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87"/>
    <w:rsid w:val="00085BCC"/>
    <w:rsid w:val="00096908"/>
    <w:rsid w:val="000A260C"/>
    <w:rsid w:val="000E7CBA"/>
    <w:rsid w:val="001075B1"/>
    <w:rsid w:val="0011457C"/>
    <w:rsid w:val="00124BA1"/>
    <w:rsid w:val="00127AE2"/>
    <w:rsid w:val="001662A7"/>
    <w:rsid w:val="001926FF"/>
    <w:rsid w:val="001A60D6"/>
    <w:rsid w:val="001D700A"/>
    <w:rsid w:val="00212D7A"/>
    <w:rsid w:val="0022541E"/>
    <w:rsid w:val="00233725"/>
    <w:rsid w:val="00271FC9"/>
    <w:rsid w:val="00275D2A"/>
    <w:rsid w:val="00280DD2"/>
    <w:rsid w:val="00296D81"/>
    <w:rsid w:val="002B165D"/>
    <w:rsid w:val="002F046A"/>
    <w:rsid w:val="00300D3A"/>
    <w:rsid w:val="00332DFE"/>
    <w:rsid w:val="00345FF9"/>
    <w:rsid w:val="0034699E"/>
    <w:rsid w:val="00374D53"/>
    <w:rsid w:val="003750BE"/>
    <w:rsid w:val="003A56EA"/>
    <w:rsid w:val="003B02AB"/>
    <w:rsid w:val="003D54DE"/>
    <w:rsid w:val="00473850"/>
    <w:rsid w:val="004A7B87"/>
    <w:rsid w:val="004D6122"/>
    <w:rsid w:val="004D7A52"/>
    <w:rsid w:val="004F0416"/>
    <w:rsid w:val="004F621C"/>
    <w:rsid w:val="005044D9"/>
    <w:rsid w:val="005376BB"/>
    <w:rsid w:val="00543785"/>
    <w:rsid w:val="005636BA"/>
    <w:rsid w:val="005772DE"/>
    <w:rsid w:val="005808E4"/>
    <w:rsid w:val="00633478"/>
    <w:rsid w:val="00650D58"/>
    <w:rsid w:val="006A1AC3"/>
    <w:rsid w:val="006B167D"/>
    <w:rsid w:val="00701A39"/>
    <w:rsid w:val="007339D9"/>
    <w:rsid w:val="00755726"/>
    <w:rsid w:val="00773535"/>
    <w:rsid w:val="007737BC"/>
    <w:rsid w:val="007962A2"/>
    <w:rsid w:val="007C2C38"/>
    <w:rsid w:val="007D2B86"/>
    <w:rsid w:val="00840B35"/>
    <w:rsid w:val="008557F0"/>
    <w:rsid w:val="008774A0"/>
    <w:rsid w:val="008A3176"/>
    <w:rsid w:val="00907D61"/>
    <w:rsid w:val="009858BD"/>
    <w:rsid w:val="009B39C4"/>
    <w:rsid w:val="009F78ED"/>
    <w:rsid w:val="00A00266"/>
    <w:rsid w:val="00A00FED"/>
    <w:rsid w:val="00A0499F"/>
    <w:rsid w:val="00A30281"/>
    <w:rsid w:val="00A92D83"/>
    <w:rsid w:val="00AC3B00"/>
    <w:rsid w:val="00B07FFC"/>
    <w:rsid w:val="00B20668"/>
    <w:rsid w:val="00B33B93"/>
    <w:rsid w:val="00B46597"/>
    <w:rsid w:val="00B46BDD"/>
    <w:rsid w:val="00B9502E"/>
    <w:rsid w:val="00BD2E30"/>
    <w:rsid w:val="00BF0D03"/>
    <w:rsid w:val="00C17E94"/>
    <w:rsid w:val="00C42E34"/>
    <w:rsid w:val="00C54936"/>
    <w:rsid w:val="00C62AB6"/>
    <w:rsid w:val="00C85A71"/>
    <w:rsid w:val="00C85D0C"/>
    <w:rsid w:val="00C8684C"/>
    <w:rsid w:val="00CA3EF6"/>
    <w:rsid w:val="00CA7A58"/>
    <w:rsid w:val="00CB3E56"/>
    <w:rsid w:val="00CB7882"/>
    <w:rsid w:val="00CC5568"/>
    <w:rsid w:val="00CD23EE"/>
    <w:rsid w:val="00CF5083"/>
    <w:rsid w:val="00D17B12"/>
    <w:rsid w:val="00D3692B"/>
    <w:rsid w:val="00D60A6F"/>
    <w:rsid w:val="00D61A94"/>
    <w:rsid w:val="00DA15CF"/>
    <w:rsid w:val="00DC4256"/>
    <w:rsid w:val="00DD49A5"/>
    <w:rsid w:val="00E15B5C"/>
    <w:rsid w:val="00E25EA7"/>
    <w:rsid w:val="00E75E32"/>
    <w:rsid w:val="00EC1650"/>
    <w:rsid w:val="00ED797C"/>
    <w:rsid w:val="00F378E4"/>
    <w:rsid w:val="00F805A6"/>
    <w:rsid w:val="00FB2BC6"/>
    <w:rsid w:val="00FE3961"/>
    <w:rsid w:val="00FF0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9FC5B-DE7D-4BE4-97B5-DAAAF295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7B8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2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378E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378E4"/>
    <w:rPr>
      <w:rFonts w:eastAsiaTheme="minorEastAsia"/>
    </w:rPr>
  </w:style>
  <w:style w:type="paragraph" w:styleId="En-tte">
    <w:name w:val="header"/>
    <w:basedOn w:val="Normal"/>
    <w:link w:val="En-tteCar"/>
    <w:uiPriority w:val="99"/>
    <w:semiHidden/>
    <w:unhideWhenUsed/>
    <w:rsid w:val="00C42E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E34"/>
  </w:style>
  <w:style w:type="paragraph" w:styleId="Pieddepage">
    <w:name w:val="footer"/>
    <w:basedOn w:val="Normal"/>
    <w:link w:val="PieddepageCar"/>
    <w:uiPriority w:val="99"/>
    <w:semiHidden/>
    <w:unhideWhenUsed/>
    <w:rsid w:val="00C42E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2E34"/>
  </w:style>
  <w:style w:type="paragraph" w:styleId="Textedebulles">
    <w:name w:val="Balloon Text"/>
    <w:basedOn w:val="Normal"/>
    <w:link w:val="TextedebullesCar"/>
    <w:uiPriority w:val="99"/>
    <w:semiHidden/>
    <w:unhideWhenUsed/>
    <w:rsid w:val="00A92D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GO\Documents\Etat%20valeur%20liquadative%20FCP%20NYESIGU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GO\Documents\Etat%20valeur%20liquadative%20FCP%20NYESIGU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GO\Documents\Inventaire%20du%20FCP%20NYESIGUI%20au%20313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 la VL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areaChart>
        <c:grouping val="standard"/>
        <c:varyColors val="0"/>
        <c:ser>
          <c:idx val="0"/>
          <c:order val="0"/>
          <c:tx>
            <c:strRef>
              <c:f>Sheet!$B$1</c:f>
              <c:strCache>
                <c:ptCount val="1"/>
                <c:pt idx="0">
                  <c:v>Valeur Liquidative</c:v>
                </c:pt>
              </c:strCache>
            </c:strRef>
          </c:tx>
          <c:spPr>
            <a:solidFill>
              <a:schemeClr val="accent1"/>
            </a:solidFill>
            <a:ln>
              <a:noFill/>
            </a:ln>
            <a:effectLst/>
          </c:spPr>
          <c:cat>
            <c:numRef>
              <c:f>Sheet!$A$2:$A$4</c:f>
              <c:numCache>
                <c:formatCode>m/d/yyyy</c:formatCode>
                <c:ptCount val="3"/>
                <c:pt idx="0">
                  <c:v>43831</c:v>
                </c:pt>
                <c:pt idx="1">
                  <c:v>43864</c:v>
                </c:pt>
                <c:pt idx="2">
                  <c:v>43892</c:v>
                </c:pt>
              </c:numCache>
            </c:numRef>
          </c:cat>
          <c:val>
            <c:numRef>
              <c:f>Sheet!$B$2:$B$4</c:f>
              <c:numCache>
                <c:formatCode>#,##0.0000</c:formatCode>
                <c:ptCount val="3"/>
                <c:pt idx="0">
                  <c:v>9319.2085264667003</c:v>
                </c:pt>
                <c:pt idx="1">
                  <c:v>9250.9220275910993</c:v>
                </c:pt>
                <c:pt idx="2">
                  <c:v>9270.9442398539995</c:v>
                </c:pt>
              </c:numCache>
            </c:numRef>
          </c:val>
        </c:ser>
        <c:dLbls>
          <c:showLegendKey val="0"/>
          <c:showVal val="0"/>
          <c:showCatName val="0"/>
          <c:showSerName val="0"/>
          <c:showPercent val="0"/>
          <c:showBubbleSize val="0"/>
        </c:dLbls>
        <c:axId val="620177976"/>
        <c:axId val="620172488"/>
      </c:areaChart>
      <c:dateAx>
        <c:axId val="62017797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0172488"/>
        <c:crosses val="autoZero"/>
        <c:auto val="1"/>
        <c:lblOffset val="100"/>
        <c:baseTimeUnit val="months"/>
      </c:dateAx>
      <c:valAx>
        <c:axId val="620172488"/>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0177976"/>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 l'actif 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Sheet!$B$1</c:f>
              <c:strCache>
                <c:ptCount val="1"/>
                <c:pt idx="0">
                  <c:v>Actif Net</c:v>
                </c:pt>
              </c:strCache>
            </c:strRef>
          </c:tx>
          <c:spPr>
            <a:ln w="28575" cap="rnd">
              <a:solidFill>
                <a:schemeClr val="accent1"/>
              </a:solidFill>
              <a:round/>
            </a:ln>
            <a:effectLst/>
          </c:spPr>
          <c:marker>
            <c:symbol val="none"/>
          </c:marker>
          <c:cat>
            <c:numRef>
              <c:f>Sheet!$A$2:$A$4</c:f>
              <c:numCache>
                <c:formatCode>m/d/yyyy</c:formatCode>
                <c:ptCount val="3"/>
                <c:pt idx="0">
                  <c:v>43831</c:v>
                </c:pt>
                <c:pt idx="1">
                  <c:v>43864</c:v>
                </c:pt>
                <c:pt idx="2">
                  <c:v>43892</c:v>
                </c:pt>
              </c:numCache>
            </c:numRef>
          </c:cat>
          <c:val>
            <c:numRef>
              <c:f>Sheet!$B$2:$B$4</c:f>
              <c:numCache>
                <c:formatCode>#,##0</c:formatCode>
                <c:ptCount val="3"/>
                <c:pt idx="0">
                  <c:v>228234874</c:v>
                </c:pt>
                <c:pt idx="1">
                  <c:v>226562483</c:v>
                </c:pt>
                <c:pt idx="2">
                  <c:v>227052843</c:v>
                </c:pt>
              </c:numCache>
            </c:numRef>
          </c:val>
          <c:smooth val="0"/>
        </c:ser>
        <c:dLbls>
          <c:showLegendKey val="0"/>
          <c:showVal val="0"/>
          <c:showCatName val="0"/>
          <c:showSerName val="0"/>
          <c:showPercent val="0"/>
          <c:showBubbleSize val="0"/>
        </c:dLbls>
        <c:smooth val="0"/>
        <c:axId val="620173272"/>
        <c:axId val="620173664"/>
      </c:lineChart>
      <c:dateAx>
        <c:axId val="62017327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0173664"/>
        <c:crosses val="autoZero"/>
        <c:auto val="1"/>
        <c:lblOffset val="100"/>
        <c:baseTimeUnit val="months"/>
      </c:dateAx>
      <c:valAx>
        <c:axId val="62017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017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Composition</a:t>
            </a:r>
            <a:r>
              <a:rPr lang="en-US" baseline="0"/>
              <a:t> du portefeuille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Sheet!$B$1</c:f>
              <c:strCache>
                <c:ptCount val="1"/>
                <c:pt idx="0">
                  <c:v>Valorisation</c:v>
                </c:pt>
              </c:strCache>
            </c:strRef>
          </c:tx>
          <c:dPt>
            <c:idx val="0"/>
            <c:bubble3D val="0"/>
            <c:spPr>
              <a:solidFill>
                <a:schemeClr val="accent1"/>
              </a:solidFill>
              <a:ln w="19050">
                <a:solidFill>
                  <a:schemeClr val="lt1"/>
                </a:solidFill>
              </a:ln>
              <a:effectLst/>
            </c:spPr>
          </c:dPt>
          <c:dPt>
            <c:idx val="1"/>
            <c:bubble3D val="0"/>
            <c:spPr>
              <a:solidFill>
                <a:schemeClr val="accent1">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cat>
            <c:strRef>
              <c:f>Sheet!$A$2:$A$4</c:f>
              <c:strCache>
                <c:ptCount val="3"/>
                <c:pt idx="0">
                  <c:v> Action </c:v>
                </c:pt>
                <c:pt idx="1">
                  <c:v> Banque </c:v>
                </c:pt>
                <c:pt idx="2">
                  <c:v> Obligation </c:v>
                </c:pt>
              </c:strCache>
            </c:strRef>
          </c:cat>
          <c:val>
            <c:numRef>
              <c:f>Sheet!$B$2:$B$4</c:f>
              <c:numCache>
                <c:formatCode>General</c:formatCode>
                <c:ptCount val="3"/>
                <c:pt idx="0">
                  <c:v>45026495</c:v>
                </c:pt>
                <c:pt idx="1">
                  <c:v>86273937.040000007</c:v>
                </c:pt>
                <c:pt idx="2">
                  <c:v>91830519.129999995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4A33-1368-4136-8271-B68A287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yattassayeamy220@gmail.com</cp:lastModifiedBy>
  <cp:revision>4</cp:revision>
  <cp:lastPrinted>2019-01-11T14:40:00Z</cp:lastPrinted>
  <dcterms:created xsi:type="dcterms:W3CDTF">2020-04-15T14:46:00Z</dcterms:created>
  <dcterms:modified xsi:type="dcterms:W3CDTF">2020-04-15T16:12:00Z</dcterms:modified>
</cp:coreProperties>
</file>